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64418" w14:textId="4B74A102" w:rsidR="00F91F6C" w:rsidRDefault="00000000">
      <w:pPr>
        <w:rPr>
          <w:rFonts w:ascii="Times New Roman" w:eastAsia="宋体" w:hAnsi="Times New Roman" w:cs="Times New Roman"/>
          <w:b/>
          <w:bCs/>
          <w:sz w:val="28"/>
        </w:rPr>
      </w:pPr>
      <w:bookmarkStart w:id="0" w:name="OLE_LINK3"/>
      <w:bookmarkStart w:id="1" w:name="OLE_LINK4"/>
      <w:r>
        <w:rPr>
          <w:rFonts w:ascii="Times New Roman" w:eastAsia="Batang" w:hAnsi="Times New Roman" w:cs="Times New Roman" w:hint="eastAsia"/>
          <w:b/>
          <w:bCs/>
          <w:sz w:val="28"/>
          <w:lang w:eastAsia="en-US"/>
        </w:rPr>
        <w:t>3GPP TSG RAN WG1 #</w:t>
      </w:r>
      <w:r w:rsidR="00143C9F">
        <w:rPr>
          <w:rFonts w:ascii="Times New Roman" w:eastAsia="Batang" w:hAnsi="Times New Roman" w:cs="Times New Roman"/>
          <w:b/>
          <w:bCs/>
          <w:sz w:val="28"/>
          <w:lang w:eastAsia="en-US"/>
        </w:rPr>
        <w:t>11</w:t>
      </w:r>
      <w:r w:rsidR="00143C9F">
        <w:rPr>
          <w:rFonts w:ascii="Times New Roman" w:eastAsia="宋体" w:hAnsi="Times New Roman" w:cs="Times New Roman"/>
          <w:b/>
          <w:bCs/>
          <w:sz w:val="28"/>
        </w:rPr>
        <w:t>4</w:t>
      </w:r>
      <w:r w:rsidR="00143C9F">
        <w:rPr>
          <w:rFonts w:ascii="Times New Roman" w:eastAsia="Batang" w:hAnsi="Times New Roman" w:cs="Times New Roman"/>
          <w:b/>
          <w:bCs/>
          <w:sz w:val="28"/>
          <w:lang w:eastAsia="en-US"/>
        </w:rPr>
        <w:t xml:space="preserve"> </w:t>
      </w:r>
      <w:r w:rsidR="00143C9F">
        <w:rPr>
          <w:rFonts w:ascii="Times New Roman" w:eastAsia="Batang" w:hAnsi="Times New Roman" w:cs="Times New Roman"/>
          <w:b/>
          <w:bCs/>
          <w:sz w:val="28"/>
          <w:lang w:eastAsia="en-US"/>
        </w:rPr>
        <w:tab/>
      </w:r>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Pr>
          <w:rFonts w:ascii="Times New Roman" w:eastAsia="Batang" w:hAnsi="Times New Roman" w:cs="Times New Roman" w:hint="eastAsia"/>
          <w:b/>
          <w:bCs/>
          <w:sz w:val="28"/>
          <w:lang w:eastAsia="en-US"/>
        </w:rPr>
        <w:t>R1-</w:t>
      </w:r>
      <w:r w:rsidR="00E44AE0">
        <w:rPr>
          <w:rFonts w:ascii="Times New Roman" w:eastAsia="Batang" w:hAnsi="Times New Roman" w:cs="Times New Roman" w:hint="eastAsia"/>
          <w:b/>
          <w:bCs/>
          <w:sz w:val="28"/>
          <w:lang w:eastAsia="en-US"/>
        </w:rPr>
        <w:t>230</w:t>
      </w:r>
      <w:r w:rsidR="00E44AE0">
        <w:rPr>
          <w:rFonts w:ascii="Times New Roman" w:eastAsia="宋体" w:hAnsi="Times New Roman" w:cs="Times New Roman"/>
          <w:b/>
          <w:bCs/>
          <w:sz w:val="28"/>
        </w:rPr>
        <w:t>7210</w:t>
      </w:r>
    </w:p>
    <w:p w14:paraId="44CF2D4D" w14:textId="77777777" w:rsidR="00F91F6C" w:rsidRDefault="00000000">
      <w:pPr>
        <w:rPr>
          <w:rFonts w:ascii="Times New Roman" w:eastAsia="Batang" w:hAnsi="Times New Roman" w:cs="Times New Roman"/>
          <w:b/>
          <w:bCs/>
          <w:sz w:val="28"/>
        </w:rPr>
      </w:pPr>
      <w:r>
        <w:rPr>
          <w:rFonts w:ascii="Times New Roman" w:eastAsia="Batang" w:hAnsi="Times New Roman" w:cs="Times New Roman"/>
          <w:b/>
          <w:bCs/>
          <w:sz w:val="28"/>
          <w:lang w:eastAsia="en-US"/>
        </w:rPr>
        <w:t>Toulouse, France, August 21</w:t>
      </w:r>
      <w:r>
        <w:rPr>
          <w:rFonts w:ascii="Times New Roman" w:eastAsia="Batang" w:hAnsi="Times New Roman" w:cs="Times New Roman"/>
          <w:b/>
          <w:bCs/>
          <w:sz w:val="28"/>
          <w:vertAlign w:val="superscript"/>
          <w:lang w:eastAsia="en-US"/>
        </w:rPr>
        <w:t>st</w:t>
      </w:r>
      <w:r>
        <w:rPr>
          <w:rFonts w:ascii="Times New Roman" w:eastAsia="Batang" w:hAnsi="Times New Roman" w:cs="Times New Roman"/>
          <w:b/>
          <w:bCs/>
          <w:sz w:val="28"/>
          <w:lang w:eastAsia="en-US"/>
        </w:rPr>
        <w:t xml:space="preserve"> – August 25</w:t>
      </w:r>
      <w:r>
        <w:rPr>
          <w:rFonts w:ascii="Times New Roman" w:eastAsia="Batang" w:hAnsi="Times New Roman" w:cs="Times New Roman"/>
          <w:b/>
          <w:bCs/>
          <w:sz w:val="28"/>
          <w:vertAlign w:val="superscript"/>
          <w:lang w:eastAsia="en-US"/>
        </w:rPr>
        <w:t>th</w:t>
      </w:r>
      <w:r>
        <w:rPr>
          <w:rFonts w:ascii="Times New Roman" w:eastAsia="Batang" w:hAnsi="Times New Roman" w:cs="Times New Roman"/>
          <w:b/>
          <w:bCs/>
          <w:sz w:val="28"/>
          <w:lang w:eastAsia="en-US"/>
        </w:rPr>
        <w:t>, 2023</w:t>
      </w:r>
    </w:p>
    <w:p w14:paraId="5B09C1FB" w14:textId="77777777" w:rsidR="00F91F6C" w:rsidRDefault="00F91F6C">
      <w:pPr>
        <w:pStyle w:val="TdocHeader2"/>
        <w:spacing w:before="120" w:after="120"/>
        <w:rPr>
          <w:rFonts w:ascii="Times New Roman" w:hAnsi="Times New Roman"/>
          <w:bCs/>
          <w:sz w:val="28"/>
          <w:lang w:eastAsia="en-US"/>
        </w:rPr>
      </w:pPr>
    </w:p>
    <w:p w14:paraId="2063A050" w14:textId="77777777" w:rsidR="00F91F6C" w:rsidRDefault="00F91F6C">
      <w:pPr>
        <w:pStyle w:val="TdocHeader2"/>
        <w:spacing w:before="120" w:after="120"/>
        <w:rPr>
          <w:rFonts w:ascii="Times New Roman" w:hAnsi="Times New Roman"/>
          <w:bCs/>
          <w:sz w:val="28"/>
          <w:lang w:val="en-US" w:eastAsia="en-US"/>
        </w:rPr>
      </w:pPr>
    </w:p>
    <w:p w14:paraId="2909E6A5" w14:textId="77777777" w:rsidR="00F91F6C"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7BE209A6" w14:textId="77777777" w:rsidR="00F91F6C"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coverage enhancement for NR NTN</w:t>
      </w:r>
    </w:p>
    <w:p w14:paraId="299930F9" w14:textId="77777777" w:rsidR="00F91F6C" w:rsidRDefault="00000000">
      <w:pPr>
        <w:pStyle w:val="TdocHeader2"/>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9.9</w:t>
      </w:r>
      <w:r>
        <w:rPr>
          <w:rFonts w:ascii="Times New Roman" w:hAnsi="Times New Roman"/>
          <w:sz w:val="24"/>
          <w:szCs w:val="24"/>
        </w:rPr>
        <w:t>.</w:t>
      </w:r>
      <w:r>
        <w:rPr>
          <w:rFonts w:ascii="Times New Roman" w:hAnsi="Times New Roman"/>
          <w:sz w:val="24"/>
          <w:szCs w:val="24"/>
          <w:lang w:val="en-US"/>
        </w:rPr>
        <w:t>1</w:t>
      </w:r>
    </w:p>
    <w:p w14:paraId="74F88A1C" w14:textId="77777777" w:rsidR="00F91F6C" w:rsidRDefault="00000000">
      <w:pPr>
        <w:pStyle w:val="TdocHeader2"/>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7DD74336" w14:textId="77777777" w:rsidR="00F91F6C" w:rsidRDefault="00000000">
      <w:pPr>
        <w:pStyle w:val="1"/>
        <w:keepLines/>
        <w:numPr>
          <w:ilvl w:val="0"/>
          <w:numId w:val="10"/>
        </w:numPr>
        <w:pBdr>
          <w:top w:val="single" w:sz="12" w:space="3" w:color="auto"/>
        </w:pBdr>
        <w:spacing w:beforeLines="0" w:before="240" w:afterLines="0" w:after="180"/>
        <w:ind w:left="0" w:firstLine="0"/>
        <w:rPr>
          <w:rFonts w:ascii="Times New Roman" w:eastAsia="宋体" w:hAnsi="Times New Roman"/>
          <w:kern w:val="32"/>
          <w:sz w:val="32"/>
          <w:szCs w:val="32"/>
          <w:lang w:val="en-GB"/>
        </w:rPr>
      </w:pPr>
      <w:bookmarkStart w:id="3" w:name="_Toc120549591"/>
      <w:r>
        <w:rPr>
          <w:rFonts w:ascii="Times New Roman" w:eastAsia="宋体" w:hAnsi="Times New Roman"/>
          <w:kern w:val="32"/>
          <w:sz w:val="32"/>
          <w:szCs w:val="32"/>
          <w:lang w:val="en-GB"/>
        </w:rPr>
        <w:t>Introduction</w:t>
      </w:r>
      <w:bookmarkEnd w:id="3"/>
    </w:p>
    <w:p w14:paraId="463A7650" w14:textId="132C870E" w:rsidR="00F91F6C" w:rsidRDefault="00000000">
      <w:pPr>
        <w:spacing w:beforeLines="50" w:before="120" w:afterLines="50" w:after="120"/>
        <w:rPr>
          <w:rFonts w:ascii="Times New Roman" w:hAnsi="Times New Roman" w:cs="Times New Roman"/>
          <w:sz w:val="20"/>
          <w:szCs w:val="20"/>
        </w:rPr>
      </w:pPr>
      <w:bookmarkStart w:id="4" w:name="_Hlk521259925"/>
      <w:bookmarkEnd w:id="0"/>
      <w:bookmarkEnd w:id="1"/>
      <w:r>
        <w:rPr>
          <w:rFonts w:ascii="Times New Roman" w:hAnsi="Times New Roman" w:cs="Times New Roman" w:hint="eastAsia"/>
          <w:sz w:val="20"/>
          <w:szCs w:val="20"/>
        </w:rPr>
        <w:t xml:space="preserve">A new work item is proposed to define further enhancements for </w:t>
      </w:r>
      <w:r>
        <w:rPr>
          <w:rFonts w:ascii="Times New Roman" w:hAnsi="Times New Roman" w:cs="Times New Roman"/>
          <w:sz w:val="20"/>
          <w:szCs w:val="20"/>
        </w:rPr>
        <w:t>NR NTN</w:t>
      </w:r>
      <w:r>
        <w:rPr>
          <w:rFonts w:ascii="Times New Roman" w:hAnsi="Times New Roman" w:cs="Times New Roman" w:hint="eastAsia"/>
          <w:sz w:val="20"/>
          <w:szCs w:val="20"/>
        </w:rPr>
        <w:t xml:space="preserve"> in Rel-18</w:t>
      </w:r>
      <w:r>
        <w:rPr>
          <w:rFonts w:ascii="Times New Roman" w:hAnsi="Times New Roman" w:cs="Times New Roman"/>
          <w:sz w:val="20"/>
          <w:szCs w:val="20"/>
        </w:rPr>
        <w:t xml:space="preserve">, and it is concluded that the </w:t>
      </w:r>
      <w:r>
        <w:rPr>
          <w:rFonts w:ascii="Times New Roman" w:hAnsi="Times New Roman" w:cs="Times New Roman" w:hint="eastAsia"/>
          <w:sz w:val="20"/>
          <w:szCs w:val="20"/>
        </w:rPr>
        <w:t>coverage enhancement of PUCCH for Msg4 HARQ-ACK and discussion of DMRS-bundling for PUSCH</w:t>
      </w:r>
      <w:r>
        <w:rPr>
          <w:rFonts w:ascii="Times New Roman" w:hAnsi="Times New Roman" w:cs="Times New Roman"/>
          <w:sz w:val="20"/>
          <w:szCs w:val="20"/>
        </w:rPr>
        <w:t xml:space="preserve"> will be focused on during previous RAN plenary meetings according to the observation and evaluation on the NTN coverage performance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The justification and objectives that the work item focuses on are listed as </w:t>
      </w:r>
      <w:r w:rsidR="00C028C9">
        <w:rPr>
          <w:rFonts w:ascii="Times New Roman" w:hAnsi="Times New Roman" w:cs="Times New Roman" w:hint="eastAsia"/>
          <w:sz w:val="20"/>
          <w:szCs w:val="20"/>
        </w:rPr>
        <w:t>below</w:t>
      </w:r>
      <w:r>
        <w:rPr>
          <w:rFonts w:ascii="Times New Roman" w:hAnsi="Times New Roman" w:cs="Times New Roman"/>
          <w:sz w:val="20"/>
          <w:szCs w:val="20"/>
        </w:rPr>
        <w:t>.</w:t>
      </w:r>
    </w:p>
    <w:tbl>
      <w:tblPr>
        <w:tblStyle w:val="aff1"/>
        <w:tblW w:w="0" w:type="auto"/>
        <w:tblInd w:w="113" w:type="dxa"/>
        <w:tblLook w:val="04A0" w:firstRow="1" w:lastRow="0" w:firstColumn="1" w:lastColumn="0" w:noHBand="0" w:noVBand="1"/>
      </w:tblPr>
      <w:tblGrid>
        <w:gridCol w:w="9849"/>
      </w:tblGrid>
      <w:tr w:rsidR="00F91F6C" w14:paraId="16628D28" w14:textId="77777777">
        <w:tc>
          <w:tcPr>
            <w:tcW w:w="9931" w:type="dxa"/>
          </w:tcPr>
          <w:p w14:paraId="4BD9B31A" w14:textId="77777777" w:rsidR="00F91F6C" w:rsidRDefault="00000000">
            <w:pPr>
              <w:spacing w:beforeLines="50" w:before="120" w:afterLines="50" w:after="120"/>
              <w:rPr>
                <w:b/>
                <w:bCs/>
                <w:kern w:val="0"/>
                <w:sz w:val="20"/>
                <w:szCs w:val="20"/>
              </w:rPr>
            </w:pPr>
            <w:r>
              <w:rPr>
                <w:b/>
                <w:bCs/>
                <w:kern w:val="0"/>
                <w:sz w:val="20"/>
                <w:szCs w:val="20"/>
              </w:rPr>
              <w:t>Justification</w:t>
            </w:r>
          </w:p>
          <w:p w14:paraId="79B8D6B1" w14:textId="77777777" w:rsidR="00F91F6C" w:rsidRDefault="00000000">
            <w:pPr>
              <w:widowControl/>
              <w:spacing w:beforeLines="50" w:before="120" w:afterLines="50" w:after="120"/>
              <w:rPr>
                <w:kern w:val="0"/>
                <w:sz w:val="20"/>
                <w:szCs w:val="20"/>
              </w:rPr>
            </w:pPr>
            <w:r>
              <w:rPr>
                <w:kern w:val="0"/>
                <w:sz w:val="20"/>
                <w:szCs w:val="20"/>
              </w:rPr>
              <w:t>In Release 17, a work item was carried out to define solutions enabling New Radio and NG-RAN to support Non-Terrestrial Networks (NTN):</w:t>
            </w:r>
          </w:p>
          <w:p w14:paraId="431133DF"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Transparent payload based GSO and NGSO network scenarios addressing at least 3GPP power class 3 UE with GNSS capability in both Earth fixed and/or moving cell configurations</w:t>
            </w:r>
          </w:p>
          <w:p w14:paraId="05FFB753" w14:textId="77777777" w:rsidR="00F91F6C" w:rsidRDefault="00000000">
            <w:pPr>
              <w:widowControl/>
              <w:spacing w:beforeLines="50" w:before="120" w:afterLines="50" w:after="120"/>
              <w:rPr>
                <w:kern w:val="0"/>
                <w:sz w:val="20"/>
                <w:szCs w:val="20"/>
              </w:rPr>
            </w:pPr>
            <w:r>
              <w:rPr>
                <w:kern w:val="0"/>
                <w:sz w:val="20"/>
                <w:szCs w:val="20"/>
              </w:rPr>
              <w:t>As part of Release 18, a new work item is proposed to define enhancements for NG-RAN based Non-Terrestrial Networks in order to:</w:t>
            </w:r>
          </w:p>
          <w:p w14:paraId="3E289F4E"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Support new scenarios to cover deployments in frequency bands above 10 GHz</w:t>
            </w:r>
          </w:p>
          <w:p w14:paraId="377436FF"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w:t>
            </w:r>
          </w:p>
          <w:p w14:paraId="006EAF4E"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Provide mobility and service continuity enhancements considering the NTN characteristics such as large propagation delay and satellite movement.</w:t>
            </w:r>
          </w:p>
          <w:p w14:paraId="3147EE92"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Address requirements, if needed based on the FS_NR_NTN_netw_verif_UE_loc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2F982976" w14:textId="77777777" w:rsidR="00F91F6C" w:rsidRDefault="00000000">
            <w:pPr>
              <w:rPr>
                <w:kern w:val="0"/>
                <w:sz w:val="20"/>
                <w:szCs w:val="20"/>
              </w:rPr>
            </w:pPr>
            <w:r>
              <w:rPr>
                <w:b/>
                <w:bCs/>
                <w:kern w:val="0"/>
                <w:sz w:val="20"/>
                <w:szCs w:val="20"/>
              </w:rPr>
              <w:t>Objective</w:t>
            </w:r>
          </w:p>
          <w:p w14:paraId="7B7B71B6" w14:textId="77777777" w:rsidR="00F91F6C" w:rsidRDefault="00000000">
            <w:pPr>
              <w:spacing w:beforeLines="50" w:before="120" w:afterLines="50" w:after="120"/>
              <w:rPr>
                <w:kern w:val="0"/>
                <w:sz w:val="20"/>
                <w:szCs w:val="20"/>
              </w:rPr>
            </w:pPr>
            <w:r>
              <w:rPr>
                <w:kern w:val="0"/>
                <w:sz w:val="20"/>
                <w:szCs w:val="20"/>
              </w:rPr>
              <w:t>The work item aims at specifying enhancements for NG-RAN based NTN (non-terrestrial networks) according to the following assumptions with implicit compatibility to support HAPS (high altitude platform station) and ATG (air to ground) scenarios:</w:t>
            </w:r>
          </w:p>
          <w:p w14:paraId="49C65382"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GSO and NGSO (LEO and MEO) with transparent payload.</w:t>
            </w:r>
          </w:p>
          <w:p w14:paraId="587E722D"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Earth fixed tracking area. Earth fixed &amp; Earth moving cells for NGSO</w:t>
            </w:r>
          </w:p>
          <w:p w14:paraId="05EEFAEC"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FDD mode</w:t>
            </w:r>
          </w:p>
          <w:p w14:paraId="3C1CE9A8"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UEs with GNSS capabilities</w:t>
            </w:r>
          </w:p>
          <w:p w14:paraId="3C3C952B"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lastRenderedPageBreak/>
              <w:t>Both “VSAT” devices with directive antenna (including fixed and moving platform mounted devices and commercial handset terminals (e.g. Power class 3) are supported in FR1</w:t>
            </w:r>
          </w:p>
          <w:p w14:paraId="7B3362DE"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Only “VSAT” devices with directive antenna (including fixed and moving platform mounted devices) are supported in above 10 GHz bands.</w:t>
            </w:r>
          </w:p>
          <w:p w14:paraId="7D64CD17" w14:textId="77777777" w:rsidR="00F91F6C" w:rsidRDefault="00000000">
            <w:pPr>
              <w:widowControl/>
              <w:spacing w:beforeLines="50" w:before="120" w:afterLines="50" w:after="120"/>
              <w:rPr>
                <w:kern w:val="0"/>
                <w:sz w:val="20"/>
                <w:szCs w:val="20"/>
              </w:rPr>
            </w:pPr>
            <w:r>
              <w:rPr>
                <w:kern w:val="0"/>
                <w:sz w:val="20"/>
                <w:szCs w:val="20"/>
              </w:rPr>
              <w:t>Note 1: In Rel-17 WID, “VSAT” device with external antenna on moving platform is equivalent to a device that operate on platforms in motion, and this is referred to as ESIM (Earth Station In Motion).</w:t>
            </w:r>
          </w:p>
          <w:p w14:paraId="1F1CE1AB" w14:textId="77777777" w:rsidR="00F91F6C" w:rsidRDefault="00000000">
            <w:pPr>
              <w:widowControl/>
              <w:spacing w:beforeLines="50" w:before="120" w:afterLines="50" w:after="120"/>
              <w:rPr>
                <w:kern w:val="0"/>
                <w:sz w:val="20"/>
                <w:szCs w:val="20"/>
              </w:rPr>
            </w:pPr>
            <w:r>
              <w:rPr>
                <w:kern w:val="0"/>
                <w:sz w:val="20"/>
                <w:szCs w:val="20"/>
              </w:rPr>
              <w:t>Note 2: The Rel-17 NTN architecture is assumed.</w:t>
            </w:r>
          </w:p>
          <w:p w14:paraId="320A2FC5" w14:textId="77777777" w:rsidR="00F91F6C" w:rsidRDefault="00000000">
            <w:pPr>
              <w:widowControl/>
              <w:spacing w:beforeLines="50" w:before="120" w:afterLines="50" w:after="120"/>
              <w:rPr>
                <w:kern w:val="0"/>
                <w:sz w:val="20"/>
                <w:szCs w:val="20"/>
              </w:rPr>
            </w:pPr>
            <w:r>
              <w:rPr>
                <w:rFonts w:hint="eastAsia"/>
                <w:kern w:val="0"/>
                <w:sz w:val="20"/>
                <w:szCs w:val="20"/>
              </w:rPr>
              <w:t>This WI is adding functionality in REL-18 to enhance features that were introduced in REL-15/16/17:</w:t>
            </w:r>
          </w:p>
          <w:p w14:paraId="4BD75974" w14:textId="77777777" w:rsidR="00F91F6C" w:rsidRDefault="00000000">
            <w:pPr>
              <w:widowControl/>
              <w:spacing w:beforeLines="50" w:before="120" w:afterLines="50" w:after="120"/>
              <w:rPr>
                <w:kern w:val="0"/>
                <w:sz w:val="20"/>
                <w:szCs w:val="20"/>
              </w:rPr>
            </w:pPr>
            <w:r>
              <w:rPr>
                <w:kern w:val="0"/>
                <w:sz w:val="20"/>
                <w:szCs w:val="20"/>
              </w:rPr>
              <w:t xml:space="preserve">The first objective is to study the coverage enhancement to NTN, including: </w:t>
            </w:r>
          </w:p>
          <w:p w14:paraId="1F8F9C85" w14:textId="77777777" w:rsidR="00F91F6C" w:rsidRDefault="00000000">
            <w:pPr>
              <w:widowControl/>
              <w:spacing w:beforeLines="50" w:before="120" w:afterLines="50" w:after="120"/>
              <w:rPr>
                <w:kern w:val="0"/>
                <w:sz w:val="20"/>
                <w:szCs w:val="20"/>
              </w:rPr>
            </w:pPr>
            <w:r>
              <w:rPr>
                <w:kern w:val="0"/>
                <w:sz w:val="20"/>
                <w:szCs w:val="20"/>
              </w:rPr>
              <w:t>The Rel-18 NTN objectives are focused on the applicability of the “solutions developed by general NR coverage enhancement”</w:t>
            </w:r>
            <w:r>
              <w:rPr>
                <w:rFonts w:hint="eastAsia"/>
                <w:kern w:val="0"/>
                <w:sz w:val="20"/>
                <w:szCs w:val="20"/>
              </w:rPr>
              <w:t xml:space="preserve"> (NR_cov_enh)</w:t>
            </w:r>
            <w:r>
              <w:rPr>
                <w:kern w:val="0"/>
                <w:sz w:val="20"/>
                <w:szCs w:val="20"/>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3746AF0" w14:textId="77777777" w:rsidR="00F91F6C" w:rsidRDefault="00000000">
            <w:pPr>
              <w:widowControl/>
              <w:spacing w:beforeLines="50" w:before="120" w:afterLines="50" w:after="120"/>
              <w:rPr>
                <w:kern w:val="0"/>
                <w:sz w:val="20"/>
                <w:szCs w:val="20"/>
              </w:rPr>
            </w:pPr>
            <w:r>
              <w:rPr>
                <w:kern w:val="0"/>
                <w:sz w:val="20"/>
                <w:szCs w:val="20"/>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0437641D"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Note: It is understood that the enhancements defined for LEO can also apply to GEO and MEO scenarios as appropriate. No additional work is expected for MEO/GEO.</w:t>
            </w:r>
          </w:p>
          <w:p w14:paraId="5C0867BA" w14:textId="77777777" w:rsidR="00F91F6C" w:rsidRDefault="00000000">
            <w:pPr>
              <w:widowControl/>
              <w:spacing w:beforeLines="50" w:before="120" w:afterLines="50" w:after="120"/>
              <w:rPr>
                <w:kern w:val="0"/>
                <w:sz w:val="20"/>
                <w:szCs w:val="20"/>
              </w:rPr>
            </w:pPr>
            <w:r>
              <w:rPr>
                <w:kern w:val="0"/>
                <w:sz w:val="20"/>
                <w:szCs w:val="20"/>
              </w:rPr>
              <w:t>The targeted services are VoIP using AMR 4.75 kbps and data transmission services with Low data rate of 3 kbps.</w:t>
            </w:r>
          </w:p>
          <w:p w14:paraId="49803771" w14:textId="77777777" w:rsidR="00F91F6C" w:rsidRDefault="00000000">
            <w:pPr>
              <w:widowControl/>
              <w:spacing w:beforeLines="50" w:before="120" w:afterLines="50" w:after="120"/>
              <w:rPr>
                <w:kern w:val="0"/>
                <w:sz w:val="20"/>
                <w:szCs w:val="20"/>
              </w:rPr>
            </w:pPr>
            <w:r>
              <w:rPr>
                <w:kern w:val="0"/>
                <w:sz w:val="20"/>
                <w:szCs w:val="20"/>
              </w:rPr>
              <w:t>The detailed objectives are for NTN:</w:t>
            </w:r>
          </w:p>
          <w:p w14:paraId="56DBC0F7"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To specify PUCCH enhancements for Msg4 HARQ-ACK (e.g. repetition) [RAN1, RAN4]</w:t>
            </w:r>
          </w:p>
          <w:p w14:paraId="4786B88B" w14:textId="77777777" w:rsidR="00F91F6C" w:rsidRDefault="00000000">
            <w:pPr>
              <w:widowControl/>
              <w:numPr>
                <w:ilvl w:val="0"/>
                <w:numId w:val="11"/>
              </w:numPr>
              <w:spacing w:beforeLines="50" w:before="120" w:afterLines="50" w:after="120"/>
              <w:ind w:leftChars="100" w:left="660"/>
              <w:rPr>
                <w:kern w:val="0"/>
                <w:sz w:val="20"/>
                <w:szCs w:val="20"/>
              </w:rPr>
            </w:pPr>
            <w:r>
              <w:rPr>
                <w:kern w:val="0"/>
                <w:sz w:val="20"/>
                <w:szCs w:val="20"/>
              </w:rPr>
              <w:t xml:space="preserve">To </w:t>
            </w:r>
            <w:r>
              <w:rPr>
                <w:rFonts w:hint="eastAsia"/>
                <w:kern w:val="0"/>
                <w:sz w:val="20"/>
                <w:szCs w:val="20"/>
              </w:rPr>
              <w:t>specify if necessary, enhancements to the Rel-17 procedures for</w:t>
            </w:r>
            <w:r>
              <w:rPr>
                <w:kern w:val="0"/>
                <w:sz w:val="20"/>
                <w:szCs w:val="20"/>
              </w:rPr>
              <w:t xml:space="preserve"> DMRS bundling for PUSCH taking into account NTN-specifics (e.g. time-frequency pre-compensation) [RAN1]</w:t>
            </w:r>
          </w:p>
        </w:tc>
      </w:tr>
    </w:tbl>
    <w:p w14:paraId="5DCDF725" w14:textId="1BFBE49E" w:rsidR="00F91F6C"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 xml:space="preserve">During last RAN1 meeting, the detailed procedure and issues </w:t>
      </w:r>
      <w:r>
        <w:rPr>
          <w:rFonts w:ascii="Times New Roman" w:hAnsi="Times New Roman" w:cs="Times New Roman" w:hint="eastAsia"/>
          <w:bCs/>
          <w:iCs/>
          <w:sz w:val="20"/>
          <w:szCs w:val="20"/>
        </w:rPr>
        <w:t xml:space="preserve">on coverage enhancement </w:t>
      </w:r>
      <w:r>
        <w:rPr>
          <w:rFonts w:ascii="Times New Roman" w:hAnsi="Times New Roman" w:cs="Times New Roman"/>
          <w:bCs/>
          <w:iCs/>
          <w:sz w:val="20"/>
          <w:szCs w:val="20"/>
        </w:rPr>
        <w:t>schemes for</w:t>
      </w:r>
      <w:r>
        <w:rPr>
          <w:rFonts w:ascii="Times New Roman" w:hAnsi="Times New Roman" w:cs="Times New Roman" w:hint="eastAsia"/>
          <w:bCs/>
          <w:iCs/>
          <w:sz w:val="20"/>
          <w:szCs w:val="20"/>
        </w:rPr>
        <w:t xml:space="preserve"> NTN scenarios</w:t>
      </w:r>
      <w:r>
        <w:rPr>
          <w:rFonts w:ascii="Times New Roman" w:hAnsi="Times New Roman" w:cs="Times New Roman"/>
          <w:bCs/>
          <w:iCs/>
          <w:sz w:val="20"/>
          <w:szCs w:val="20"/>
        </w:rPr>
        <w:t xml:space="preserve"> were discussed and some progress was achieved [2]. </w:t>
      </w:r>
      <w:r>
        <w:rPr>
          <w:rFonts w:ascii="Times New Roman" w:hAnsi="Times New Roman" w:cs="Times New Roman" w:hint="eastAsia"/>
          <w:bCs/>
          <w:iCs/>
          <w:sz w:val="20"/>
          <w:szCs w:val="20"/>
        </w:rPr>
        <w:t xml:space="preserve">In this contribution, we will </w:t>
      </w:r>
      <w:r>
        <w:rPr>
          <w:rFonts w:ascii="Times New Roman" w:hAnsi="Times New Roman" w:cs="Times New Roman"/>
          <w:bCs/>
          <w:iCs/>
          <w:sz w:val="20"/>
          <w:szCs w:val="20"/>
        </w:rPr>
        <w:t xml:space="preserve">further study and </w:t>
      </w:r>
      <w:r>
        <w:rPr>
          <w:rFonts w:ascii="Times New Roman" w:hAnsi="Times New Roman" w:cs="Times New Roman" w:hint="eastAsia"/>
          <w:bCs/>
          <w:iCs/>
          <w:sz w:val="20"/>
          <w:szCs w:val="20"/>
        </w:rPr>
        <w:t xml:space="preserve">share our views on </w:t>
      </w:r>
      <w:r>
        <w:rPr>
          <w:rFonts w:ascii="Times New Roman" w:hAnsi="Times New Roman" w:cs="Times New Roman"/>
          <w:bCs/>
          <w:iCs/>
          <w:sz w:val="20"/>
          <w:szCs w:val="20"/>
        </w:rPr>
        <w:t xml:space="preserve">the </w:t>
      </w:r>
      <w:r>
        <w:rPr>
          <w:rFonts w:ascii="Times New Roman" w:hAnsi="Times New Roman" w:cs="Times New Roman" w:hint="eastAsia"/>
          <w:bCs/>
          <w:iCs/>
          <w:sz w:val="20"/>
          <w:szCs w:val="20"/>
        </w:rPr>
        <w:t>remaining issues of</w:t>
      </w:r>
      <w:r>
        <w:rPr>
          <w:rFonts w:ascii="Times New Roman" w:hAnsi="Times New Roman" w:cs="Times New Roman"/>
          <w:bCs/>
          <w:iCs/>
          <w:sz w:val="20"/>
          <w:szCs w:val="20"/>
        </w:rPr>
        <w:t xml:space="preserve"> for</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PUCCH </w:t>
      </w:r>
      <w:r w:rsidR="005005DE">
        <w:rPr>
          <w:rFonts w:ascii="Times New Roman" w:hAnsi="Times New Roman" w:cs="Times New Roman"/>
          <w:bCs/>
          <w:iCs/>
          <w:sz w:val="20"/>
          <w:szCs w:val="20"/>
        </w:rPr>
        <w:t xml:space="preserve">repetition </w:t>
      </w:r>
      <w:r>
        <w:rPr>
          <w:rFonts w:ascii="Times New Roman" w:hAnsi="Times New Roman" w:cs="Times New Roman"/>
          <w:bCs/>
          <w:iCs/>
          <w:sz w:val="20"/>
          <w:szCs w:val="20"/>
        </w:rPr>
        <w:t>enhancements for Msg4 HARQ-ACK and DMRS bundling for PUSCH in NTN</w:t>
      </w:r>
      <w:r>
        <w:rPr>
          <w:rFonts w:ascii="Times New Roman" w:hAnsi="Times New Roman" w:cs="Times New Roman" w:hint="eastAsia"/>
          <w:bCs/>
          <w:iCs/>
          <w:sz w:val="20"/>
          <w:szCs w:val="20"/>
        </w:rPr>
        <w:t>.</w:t>
      </w:r>
    </w:p>
    <w:p w14:paraId="418F2873" w14:textId="77777777" w:rsidR="00F91F6C" w:rsidRDefault="00000000">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2C0F8DBC" w14:textId="77777777" w:rsidR="00F91F6C" w:rsidRDefault="00000000">
      <w:pPr>
        <w:pStyle w:val="2"/>
        <w:numPr>
          <w:ilvl w:val="1"/>
          <w:numId w:val="0"/>
        </w:numPr>
        <w:spacing w:before="120" w:after="120"/>
        <w:rPr>
          <w:b/>
          <w:bCs/>
          <w:sz w:val="24"/>
          <w:szCs w:val="32"/>
        </w:rPr>
      </w:pPr>
      <w:r>
        <w:rPr>
          <w:b/>
          <w:bCs/>
          <w:sz w:val="24"/>
          <w:szCs w:val="32"/>
        </w:rPr>
        <w:t xml:space="preserve">2.1 </w:t>
      </w:r>
      <w:r>
        <w:rPr>
          <w:rFonts w:hint="eastAsia"/>
          <w:b/>
          <w:bCs/>
          <w:sz w:val="24"/>
          <w:szCs w:val="32"/>
        </w:rPr>
        <w:t>PUCCH enhancement for Msg4 HARQ-ACK</w:t>
      </w:r>
    </w:p>
    <w:p w14:paraId="6BBD237C" w14:textId="77777777" w:rsidR="00F91F6C" w:rsidRDefault="00000000">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b/>
          <w:iCs/>
          <w:sz w:val="22"/>
          <w:szCs w:val="22"/>
        </w:rPr>
        <w:t>2.1.1 Repetition request or capability report</w:t>
      </w:r>
    </w:p>
    <w:p w14:paraId="5207431B" w14:textId="08E87FCF" w:rsidR="00F91F6C" w:rsidRDefault="00000000">
      <w:pPr>
        <w:spacing w:beforeLines="50" w:before="120" w:afterLines="50" w:after="120"/>
        <w:rPr>
          <w:rFonts w:ascii="Times New Roman" w:eastAsia="宋体" w:hAnsi="Times New Roman" w:cs="Times New Roman"/>
          <w:sz w:val="20"/>
          <w:szCs w:val="20"/>
        </w:rPr>
      </w:pPr>
      <w:r>
        <w:rPr>
          <w:rFonts w:ascii="Times New Roman" w:hAnsi="Times New Roman" w:cs="Times New Roman"/>
          <w:bCs/>
          <w:iCs/>
          <w:sz w:val="20"/>
          <w:szCs w:val="20"/>
        </w:rPr>
        <w:t xml:space="preserve">Regarding the enhancement scheme of </w:t>
      </w:r>
      <w:r>
        <w:rPr>
          <w:rFonts w:ascii="Times" w:eastAsia="Batang" w:hAnsi="Times"/>
          <w:sz w:val="20"/>
          <w:szCs w:val="18"/>
          <w:lang w:eastAsia="en-US"/>
        </w:rPr>
        <w:t xml:space="preserve">PUCCH repetition </w:t>
      </w:r>
      <w:r>
        <w:rPr>
          <w:rFonts w:ascii="Times" w:eastAsia="宋体" w:hAnsi="Times"/>
          <w:sz w:val="20"/>
          <w:lang w:eastAsia="en-US"/>
        </w:rPr>
        <w:t>for Msg4 HARQ-ACK in NTN scenarios, t</w:t>
      </w:r>
      <w:r>
        <w:rPr>
          <w:rFonts w:ascii="Times New Roman" w:hAnsi="Times New Roman" w:cs="Times New Roman"/>
          <w:bCs/>
          <w:iCs/>
          <w:sz w:val="20"/>
          <w:szCs w:val="20"/>
        </w:rPr>
        <w:t>he procedure of PUCCH repetition for Msg4 HARQ-ACK was discussed</w:t>
      </w:r>
      <w:r w:rsidR="00660261">
        <w:rPr>
          <w:rFonts w:ascii="Times New Roman" w:hAnsi="Times New Roman" w:cs="Times New Roman"/>
          <w:bCs/>
          <w:iCs/>
          <w:sz w:val="20"/>
          <w:szCs w:val="20"/>
        </w:rPr>
        <w:t>.</w:t>
      </w:r>
      <w:r w:rsidR="00D47AFD">
        <w:rPr>
          <w:rFonts w:ascii="Times New Roman" w:hAnsi="Times New Roman" w:cs="Times New Roman"/>
          <w:bCs/>
          <w:iCs/>
          <w:sz w:val="20"/>
          <w:szCs w:val="20"/>
        </w:rPr>
        <w:t xml:space="preserve"> </w:t>
      </w:r>
      <w:r w:rsidR="00660261">
        <w:rPr>
          <w:rFonts w:ascii="Times New Roman" w:hAnsi="Times New Roman" w:cs="Times New Roman"/>
          <w:bCs/>
          <w:iCs/>
          <w:sz w:val="20"/>
          <w:szCs w:val="20"/>
        </w:rPr>
        <w:t>I</w:t>
      </w:r>
      <w:r>
        <w:rPr>
          <w:rFonts w:ascii="Times New Roman" w:hAnsi="Times New Roman" w:cs="Times New Roman"/>
          <w:bCs/>
          <w:iCs/>
          <w:sz w:val="20"/>
          <w:szCs w:val="20"/>
        </w:rPr>
        <w:t xml:space="preserve">t </w:t>
      </w:r>
      <w:r>
        <w:rPr>
          <w:rFonts w:ascii="Times New Roman" w:hAnsi="Times New Roman" w:cs="Times New Roman" w:hint="eastAsia"/>
          <w:bCs/>
          <w:iCs/>
          <w:sz w:val="20"/>
          <w:szCs w:val="20"/>
        </w:rPr>
        <w:t>i</w:t>
      </w:r>
      <w:r>
        <w:rPr>
          <w:rFonts w:ascii="Times New Roman" w:hAnsi="Times New Roman" w:cs="Times New Roman"/>
          <w:bCs/>
          <w:iCs/>
          <w:sz w:val="20"/>
          <w:szCs w:val="20"/>
        </w:rPr>
        <w:t>s supported that one or multiple repetition factors are configured via SIB, and PUCCH repetition for Msg4 HARQ-ACK can be determined and dynamically indicated by gNB</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the working assumption </w:t>
      </w:r>
      <w:r>
        <w:rPr>
          <w:rFonts w:ascii="Times New Roman" w:hAnsi="Times New Roman" w:cs="Times New Roman" w:hint="eastAsia"/>
          <w:bCs/>
          <w:iCs/>
          <w:sz w:val="20"/>
          <w:szCs w:val="20"/>
        </w:rPr>
        <w:t xml:space="preserve">achieved is </w:t>
      </w:r>
      <w:r>
        <w:rPr>
          <w:rFonts w:ascii="Times New Roman" w:hAnsi="Times New Roman" w:cs="Times New Roman"/>
          <w:bCs/>
          <w:iCs/>
          <w:sz w:val="20"/>
          <w:szCs w:val="20"/>
        </w:rPr>
        <w:t xml:space="preserve">shown </w:t>
      </w:r>
      <w:r>
        <w:rPr>
          <w:rFonts w:ascii="Times New Roman" w:hAnsi="Times New Roman" w:cs="Times New Roman" w:hint="eastAsia"/>
          <w:bCs/>
          <w:iCs/>
          <w:sz w:val="20"/>
          <w:szCs w:val="20"/>
        </w:rPr>
        <w:t xml:space="preserve">as </w:t>
      </w:r>
      <w:r>
        <w:rPr>
          <w:rFonts w:ascii="Times New Roman" w:hAnsi="Times New Roman" w:cs="Times New Roman"/>
          <w:bCs/>
          <w:iCs/>
          <w:sz w:val="20"/>
          <w:szCs w:val="20"/>
        </w:rPr>
        <w:t>below</w:t>
      </w:r>
      <w:r w:rsidR="00660261">
        <w:rPr>
          <w:rFonts w:ascii="Times New Roman" w:hAnsi="Times New Roman" w:cs="Times New Roman"/>
          <w:bCs/>
          <w:iCs/>
          <w:sz w:val="20"/>
          <w:szCs w:val="20"/>
        </w:rPr>
        <w:t xml:space="preserve"> </w:t>
      </w:r>
      <w:r>
        <w:rPr>
          <w:rFonts w:ascii="Times New Roman" w:hAnsi="Times New Roman" w:cs="Times New Roman"/>
          <w:bCs/>
          <w:iCs/>
          <w:sz w:val="20"/>
          <w:szCs w:val="20"/>
        </w:rPr>
        <w:t xml:space="preserve">[3]. </w:t>
      </w:r>
    </w:p>
    <w:tbl>
      <w:tblPr>
        <w:tblStyle w:val="aff1"/>
        <w:tblW w:w="0" w:type="auto"/>
        <w:tblInd w:w="119" w:type="dxa"/>
        <w:tblLook w:val="04A0" w:firstRow="1" w:lastRow="0" w:firstColumn="1" w:lastColumn="0" w:noHBand="0" w:noVBand="1"/>
      </w:tblPr>
      <w:tblGrid>
        <w:gridCol w:w="9843"/>
      </w:tblGrid>
      <w:tr w:rsidR="00F91F6C" w14:paraId="5A89B0E6" w14:textId="77777777">
        <w:tc>
          <w:tcPr>
            <w:tcW w:w="9919" w:type="dxa"/>
          </w:tcPr>
          <w:p w14:paraId="7BA654C5" w14:textId="77777777" w:rsidR="00F91F6C" w:rsidRDefault="00000000">
            <w:pPr>
              <w:spacing w:before="60" w:after="60"/>
              <w:rPr>
                <w:b/>
                <w:sz w:val="20"/>
                <w:szCs w:val="20"/>
              </w:rPr>
            </w:pPr>
            <w:r>
              <w:rPr>
                <w:b/>
                <w:sz w:val="20"/>
                <w:szCs w:val="20"/>
                <w:highlight w:val="darkYellow"/>
              </w:rPr>
              <w:t>RAN1#111 Working assumption</w:t>
            </w:r>
          </w:p>
          <w:p w14:paraId="370F1456" w14:textId="77777777" w:rsidR="00F91F6C" w:rsidRDefault="00000000">
            <w:pPr>
              <w:snapToGrid w:val="0"/>
              <w:spacing w:before="60" w:after="60"/>
              <w:rPr>
                <w:sz w:val="20"/>
                <w:szCs w:val="20"/>
              </w:rPr>
            </w:pPr>
            <w:r>
              <w:rPr>
                <w:sz w:val="20"/>
                <w:szCs w:val="20"/>
              </w:rPr>
              <w:t>For PUCCH repetition for Msg4 HARQ-ACK,</w:t>
            </w:r>
          </w:p>
          <w:p w14:paraId="588BEA01" w14:textId="77777777" w:rsidR="00F91F6C" w:rsidRDefault="00000000">
            <w:pPr>
              <w:numPr>
                <w:ilvl w:val="0"/>
                <w:numId w:val="12"/>
              </w:numPr>
              <w:snapToGrid w:val="0"/>
              <w:spacing w:before="60" w:after="60"/>
              <w:ind w:left="720"/>
              <w:rPr>
                <w:rFonts w:eastAsia="等线"/>
                <w:sz w:val="20"/>
                <w:szCs w:val="20"/>
              </w:rPr>
            </w:pPr>
            <w:r>
              <w:rPr>
                <w:rFonts w:eastAsia="等线"/>
                <w:sz w:val="20"/>
                <w:szCs w:val="20"/>
              </w:rPr>
              <w:t>One or more repetition factors may be configured via SIB</w:t>
            </w:r>
          </w:p>
          <w:p w14:paraId="0A9CFC23" w14:textId="77777777" w:rsidR="00F91F6C" w:rsidRDefault="00000000">
            <w:pPr>
              <w:numPr>
                <w:ilvl w:val="1"/>
                <w:numId w:val="12"/>
              </w:numPr>
              <w:snapToGrid w:val="0"/>
              <w:ind w:left="1185"/>
              <w:rPr>
                <w:rFonts w:eastAsia="等线"/>
                <w:sz w:val="20"/>
                <w:szCs w:val="20"/>
              </w:rPr>
            </w:pPr>
            <w:r>
              <w:rPr>
                <w:rFonts w:eastAsia="等线"/>
                <w:sz w:val="20"/>
                <w:szCs w:val="20"/>
              </w:rPr>
              <w:t>If only one repetition factor is configured via SIB and if the value is one of {[1], 2, 4, 8}, UE capable of PUCCH repetition for Msg4 HARQ-ACK can perform repetition with the repetition factor</w:t>
            </w:r>
          </w:p>
          <w:p w14:paraId="4381810A" w14:textId="77777777" w:rsidR="00F91F6C" w:rsidRDefault="00000000">
            <w:pPr>
              <w:numPr>
                <w:ilvl w:val="2"/>
                <w:numId w:val="12"/>
              </w:numPr>
              <w:snapToGrid w:val="0"/>
              <w:spacing w:before="60" w:after="60"/>
              <w:ind w:left="1661"/>
              <w:rPr>
                <w:rFonts w:eastAsia="等线"/>
                <w:sz w:val="20"/>
                <w:szCs w:val="20"/>
              </w:rPr>
            </w:pPr>
            <w:r>
              <w:rPr>
                <w:rFonts w:eastAsia="等线"/>
                <w:sz w:val="20"/>
                <w:szCs w:val="20"/>
              </w:rPr>
              <w:t>FFS: whether UE requests repetition or indicates repetition capability</w:t>
            </w:r>
          </w:p>
          <w:p w14:paraId="5A402A8F" w14:textId="77777777" w:rsidR="00F91F6C" w:rsidRDefault="00000000">
            <w:pPr>
              <w:numPr>
                <w:ilvl w:val="1"/>
                <w:numId w:val="12"/>
              </w:numPr>
              <w:snapToGrid w:val="0"/>
              <w:ind w:left="1185"/>
              <w:rPr>
                <w:rFonts w:eastAsia="等线"/>
                <w:sz w:val="20"/>
                <w:szCs w:val="20"/>
              </w:rPr>
            </w:pPr>
            <w:r>
              <w:rPr>
                <w:rFonts w:eastAsia="等线"/>
                <w:sz w:val="20"/>
                <w:szCs w:val="20"/>
              </w:rPr>
              <w:t xml:space="preserve">If multiple factors from {1, 2, 4, 8} are configured via SIB, PUCCH repetition for Msg4 HARQ-ACK may be dynamically determined and indicated by gNB </w:t>
            </w:r>
          </w:p>
          <w:p w14:paraId="6AAD8630" w14:textId="77777777" w:rsidR="00F91F6C" w:rsidRDefault="00000000">
            <w:pPr>
              <w:numPr>
                <w:ilvl w:val="2"/>
                <w:numId w:val="12"/>
              </w:numPr>
              <w:snapToGrid w:val="0"/>
              <w:spacing w:before="60" w:after="60"/>
              <w:ind w:left="1661"/>
              <w:rPr>
                <w:rFonts w:eastAsia="等线"/>
                <w:sz w:val="20"/>
                <w:szCs w:val="20"/>
              </w:rPr>
            </w:pPr>
            <w:r>
              <w:rPr>
                <w:rFonts w:eastAsia="等线"/>
                <w:sz w:val="20"/>
                <w:szCs w:val="20"/>
              </w:rPr>
              <w:t>FFS: whether UE requests repetition or indicates repetition capability</w:t>
            </w:r>
          </w:p>
          <w:p w14:paraId="1E01E244" w14:textId="77777777" w:rsidR="00F91F6C" w:rsidRDefault="00000000">
            <w:pPr>
              <w:numPr>
                <w:ilvl w:val="2"/>
                <w:numId w:val="12"/>
              </w:numPr>
              <w:snapToGrid w:val="0"/>
              <w:spacing w:before="60" w:after="60"/>
              <w:ind w:left="1661"/>
              <w:rPr>
                <w:rFonts w:eastAsia="等线"/>
                <w:sz w:val="20"/>
                <w:szCs w:val="20"/>
              </w:rPr>
            </w:pPr>
            <w:r>
              <w:rPr>
                <w:rFonts w:eastAsia="等线"/>
                <w:sz w:val="20"/>
                <w:szCs w:val="20"/>
              </w:rPr>
              <w:lastRenderedPageBreak/>
              <w:t>FFS: whether repetition factor is indicated by UE</w:t>
            </w:r>
          </w:p>
          <w:p w14:paraId="495203B9" w14:textId="77777777" w:rsidR="00F91F6C" w:rsidRDefault="00000000">
            <w:pPr>
              <w:numPr>
                <w:ilvl w:val="1"/>
                <w:numId w:val="12"/>
              </w:numPr>
              <w:snapToGrid w:val="0"/>
              <w:ind w:left="1185"/>
              <w:rPr>
                <w:rFonts w:eastAsia="等线"/>
                <w:sz w:val="20"/>
                <w:szCs w:val="20"/>
              </w:rPr>
            </w:pPr>
            <w:r>
              <w:rPr>
                <w:rFonts w:eastAsia="等线"/>
                <w:sz w:val="20"/>
                <w:szCs w:val="20"/>
              </w:rPr>
              <w:t>FFS: UE behavior when repetition factor is not configured via SIB</w:t>
            </w:r>
          </w:p>
          <w:p w14:paraId="6A65B2CF" w14:textId="77777777" w:rsidR="00F91F6C" w:rsidRDefault="00000000">
            <w:pPr>
              <w:numPr>
                <w:ilvl w:val="1"/>
                <w:numId w:val="12"/>
              </w:numPr>
              <w:snapToGrid w:val="0"/>
              <w:spacing w:afterLines="50" w:after="120"/>
              <w:ind w:left="1185"/>
              <w:rPr>
                <w:sz w:val="20"/>
                <w:szCs w:val="20"/>
              </w:rPr>
            </w:pPr>
            <w:r>
              <w:rPr>
                <w:rFonts w:eastAsia="等线"/>
                <w:sz w:val="20"/>
                <w:szCs w:val="20"/>
              </w:rPr>
              <w:t>FFS: whether one or more UE capabilities are needed for the above is for further discussion</w:t>
            </w:r>
          </w:p>
        </w:tc>
      </w:tr>
    </w:tbl>
    <w:p w14:paraId="6F545180" w14:textId="37C07708" w:rsidR="00F91F6C"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 xml:space="preserve">Considering the UE behavior </w:t>
      </w:r>
      <w:r>
        <w:rPr>
          <w:rFonts w:ascii="Times New Roman" w:hAnsi="Times New Roman" w:cs="Times New Roman"/>
          <w:bCs/>
          <w:iCs/>
          <w:sz w:val="20"/>
          <w:szCs w:val="20"/>
        </w:rPr>
        <w:t>when one or multiple repetition factors are configured</w:t>
      </w:r>
      <w:r w:rsidR="002940C0">
        <w:rPr>
          <w:rFonts w:ascii="Times New Roman" w:hAnsi="Times New Roman" w:cs="Times New Roman"/>
          <w:bCs/>
          <w:iCs/>
          <w:sz w:val="20"/>
          <w:szCs w:val="20"/>
        </w:rPr>
        <w:t xml:space="preserve"> via SIB</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it was agreed that two-state information of higher layer signalling in Msg3 PUSCH can be transmitted as </w:t>
      </w:r>
      <w:r>
        <w:rPr>
          <w:rFonts w:ascii="Times New Roman" w:hAnsi="Times New Roman" w:cs="Times New Roman"/>
          <w:bCs/>
          <w:iCs/>
          <w:sz w:val="20"/>
          <w:szCs w:val="20"/>
        </w:rPr>
        <w:t>‘</w:t>
      </w:r>
      <w:r>
        <w:rPr>
          <w:rFonts w:ascii="Times New Roman" w:hAnsi="Times New Roman" w:cs="Times New Roman" w:hint="eastAsia"/>
          <w:bCs/>
          <w:iCs/>
          <w:sz w:val="20"/>
          <w:szCs w:val="20"/>
        </w:rPr>
        <w:t>repetition request or capability report</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during the last RAN1 meeting. One remaining</w:t>
      </w:r>
      <w:r>
        <w:rPr>
          <w:rFonts w:ascii="Times New Roman" w:hAnsi="Times New Roman" w:cs="Times New Roman"/>
          <w:bCs/>
          <w:iCs/>
          <w:sz w:val="20"/>
          <w:szCs w:val="20"/>
        </w:rPr>
        <w:t xml:space="preserve"> issue </w:t>
      </w:r>
      <w:r>
        <w:rPr>
          <w:rFonts w:ascii="Times New Roman" w:hAnsi="Times New Roman" w:cs="Times New Roman" w:hint="eastAsia"/>
          <w:bCs/>
          <w:iCs/>
          <w:sz w:val="20"/>
          <w:szCs w:val="20"/>
        </w:rPr>
        <w:t>is</w:t>
      </w:r>
      <w:r>
        <w:rPr>
          <w:rFonts w:ascii="Times New Roman" w:hAnsi="Times New Roman" w:cs="Times New Roman"/>
          <w:bCs/>
          <w:iCs/>
          <w:sz w:val="20"/>
          <w:szCs w:val="20"/>
        </w:rPr>
        <w:t xml:space="preserve"> </w:t>
      </w:r>
      <w:r w:rsidR="00660261">
        <w:rPr>
          <w:rFonts w:ascii="Times New Roman" w:hAnsi="Times New Roman" w:cs="Times New Roman"/>
          <w:bCs/>
          <w:iCs/>
          <w:sz w:val="20"/>
          <w:szCs w:val="20"/>
        </w:rPr>
        <w:t xml:space="preserve">how to specify the conditions </w:t>
      </w:r>
      <w:r w:rsidR="002940C0">
        <w:rPr>
          <w:rFonts w:ascii="Times New Roman" w:hAnsi="Times New Roman" w:cs="Times New Roman"/>
          <w:bCs/>
          <w:iCs/>
          <w:sz w:val="20"/>
          <w:szCs w:val="20"/>
        </w:rPr>
        <w:t>of criterion when</w:t>
      </w:r>
      <w:r>
        <w:rPr>
          <w:rFonts w:ascii="Times New Roman" w:hAnsi="Times New Roman" w:cs="Times New Roman"/>
          <w:bCs/>
          <w:iCs/>
          <w:sz w:val="20"/>
          <w:szCs w:val="20"/>
        </w:rPr>
        <w:t xml:space="preserve"> UE</w:t>
      </w:r>
      <w:r>
        <w:rPr>
          <w:rFonts w:ascii="Times New Roman" w:hAnsi="Times New Roman" w:cs="Times New Roman" w:hint="eastAsia"/>
          <w:bCs/>
          <w:iCs/>
          <w:sz w:val="20"/>
          <w:szCs w:val="20"/>
        </w:rPr>
        <w:t xml:space="preserve"> </w:t>
      </w:r>
      <w:r w:rsidR="00660261">
        <w:rPr>
          <w:rFonts w:ascii="Times New Roman" w:hAnsi="Times New Roman" w:cs="Times New Roman"/>
          <w:bCs/>
          <w:iCs/>
          <w:sz w:val="20"/>
          <w:szCs w:val="20"/>
        </w:rPr>
        <w:t xml:space="preserve">can </w:t>
      </w:r>
      <w:r>
        <w:rPr>
          <w:rFonts w:ascii="Times New Roman" w:hAnsi="Times New Roman" w:cs="Times New Roman" w:hint="eastAsia"/>
          <w:bCs/>
          <w:iCs/>
          <w:sz w:val="20"/>
          <w:szCs w:val="20"/>
        </w:rPr>
        <w:t xml:space="preserve">send the information to </w:t>
      </w:r>
      <w:r>
        <w:rPr>
          <w:rFonts w:ascii="Times New Roman" w:hAnsi="Times New Roman" w:cs="Times New Roman"/>
          <w:bCs/>
          <w:iCs/>
          <w:sz w:val="20"/>
          <w:szCs w:val="20"/>
        </w:rPr>
        <w:t>request repetition or indicat</w:t>
      </w:r>
      <w:r>
        <w:rPr>
          <w:rFonts w:ascii="Times New Roman" w:hAnsi="Times New Roman" w:cs="Times New Roman" w:hint="eastAsia"/>
          <w:bCs/>
          <w:iCs/>
          <w:sz w:val="20"/>
          <w:szCs w:val="20"/>
        </w:rPr>
        <w:t>e</w:t>
      </w:r>
      <w:r>
        <w:rPr>
          <w:rFonts w:ascii="Times New Roman" w:hAnsi="Times New Roman" w:cs="Times New Roman"/>
          <w:bCs/>
          <w:iCs/>
          <w:sz w:val="20"/>
          <w:szCs w:val="20"/>
        </w:rPr>
        <w:t xml:space="preserve"> repetition capability</w:t>
      </w:r>
      <w:r>
        <w:rPr>
          <w:rFonts w:ascii="Times New Roman" w:hAnsi="Times New Roman" w:cs="Times New Roman"/>
          <w:sz w:val="20"/>
          <w:szCs w:val="20"/>
        </w:rPr>
        <w:t>.</w:t>
      </w:r>
    </w:p>
    <w:p w14:paraId="10C79590" w14:textId="77777777" w:rsidR="00F91F6C" w:rsidRDefault="00000000">
      <w:pPr>
        <w:spacing w:beforeLines="50" w:before="120" w:afterLines="50" w:after="120"/>
        <w:rPr>
          <w:rFonts w:ascii="Times New Roman" w:eastAsia="等线" w:hAnsi="Times New Roman" w:cs="Times New Roman"/>
          <w:sz w:val="20"/>
          <w:szCs w:val="20"/>
        </w:rPr>
      </w:pPr>
      <w:r>
        <w:rPr>
          <w:rFonts w:ascii="Times New Roman" w:hAnsi="Times New Roman" w:cs="Times New Roman" w:hint="eastAsia"/>
          <w:bCs/>
          <w:iCs/>
          <w:sz w:val="20"/>
          <w:szCs w:val="20"/>
        </w:rPr>
        <w:t>From our perspective,</w:t>
      </w:r>
      <w:r>
        <w:rPr>
          <w:rFonts w:ascii="Times New Roman" w:hAnsi="Times New Roman" w:cs="Times New Roman"/>
          <w:bCs/>
          <w:iCs/>
          <w:sz w:val="20"/>
          <w:szCs w:val="20"/>
        </w:rPr>
        <w:t xml:space="preserve"> it is efficient </w:t>
      </w:r>
      <w:r>
        <w:rPr>
          <w:rFonts w:ascii="Times New Roman" w:hAnsi="Times New Roman" w:cs="Times New Roman"/>
          <w:sz w:val="20"/>
          <w:szCs w:val="20"/>
        </w:rPr>
        <w:t>that UE indicates its repetition request in advance to enable gNB know that the UE needs to transmit PUCCH repetition via corresponding PUCCH resource, or report its repetition capability to inform gNB the UE capability of performing PUCCH repetition for Msg4 HARQ-ACK</w:t>
      </w:r>
      <w:r>
        <w:rPr>
          <w:rFonts w:ascii="Times New Roman" w:hAnsi="Times New Roman" w:cs="Times New Roman" w:hint="eastAsia"/>
          <w:sz w:val="20"/>
          <w:szCs w:val="20"/>
        </w:rPr>
        <w:t>. T</w:t>
      </w:r>
      <w:r>
        <w:rPr>
          <w:rFonts w:ascii="Times New Roman" w:eastAsia="宋体" w:hAnsi="Times New Roman" w:cs="Times New Roman"/>
          <w:bCs/>
          <w:kern w:val="0"/>
          <w:sz w:val="20"/>
          <w:szCs w:val="20"/>
        </w:rPr>
        <w:t xml:space="preserve">he main difference is the </w:t>
      </w:r>
      <w:r>
        <w:rPr>
          <w:rFonts w:ascii="Times New Roman" w:eastAsia="宋体" w:hAnsi="Times New Roman" w:cs="Times New Roman" w:hint="eastAsia"/>
          <w:bCs/>
          <w:kern w:val="0"/>
          <w:sz w:val="20"/>
          <w:szCs w:val="20"/>
        </w:rPr>
        <w:t>UE</w:t>
      </w:r>
      <w:r>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which</w:t>
      </w:r>
      <w:r>
        <w:rPr>
          <w:rFonts w:ascii="Times New Roman" w:eastAsia="宋体" w:hAnsi="Times New Roman" w:cs="Times New Roman"/>
          <w:bCs/>
          <w:kern w:val="0"/>
          <w:sz w:val="20"/>
          <w:szCs w:val="20"/>
        </w:rPr>
        <w:t xml:space="preserve"> </w:t>
      </w:r>
      <w:r>
        <w:rPr>
          <w:rFonts w:ascii="Times New Roman" w:eastAsia="宋体" w:hAnsi="Times New Roman" w:cs="Times New Roman" w:hint="eastAsia"/>
          <w:bCs/>
          <w:kern w:val="0"/>
          <w:sz w:val="20"/>
          <w:szCs w:val="20"/>
        </w:rPr>
        <w:t>has</w:t>
      </w:r>
      <w:r>
        <w:rPr>
          <w:rFonts w:ascii="Times New Roman" w:eastAsia="宋体" w:hAnsi="Times New Roman" w:cs="Times New Roman"/>
          <w:bCs/>
          <w:kern w:val="0"/>
          <w:sz w:val="20"/>
          <w:szCs w:val="20"/>
        </w:rPr>
        <w:t xml:space="preserve"> </w:t>
      </w:r>
      <w:r>
        <w:rPr>
          <w:rFonts w:ascii="Times New Roman" w:hAnsi="Times New Roman" w:cs="Times New Roman"/>
          <w:sz w:val="20"/>
          <w:szCs w:val="20"/>
        </w:rPr>
        <w:t>repetition capability but does not request for the former manner. In this case, UE may report repetition capability after RACH procedure to let gNB have a better understanding.</w:t>
      </w:r>
      <w:r>
        <w:rPr>
          <w:rFonts w:ascii="Times New Roman" w:hAnsi="Times New Roman" w:cs="Times New Roman" w:hint="eastAsia"/>
          <w:sz w:val="20"/>
          <w:szCs w:val="20"/>
        </w:rPr>
        <w:t xml:space="preserve"> It has been recommended that both </w:t>
      </w:r>
      <w:r>
        <w:rPr>
          <w:rFonts w:ascii="Times New Roman" w:hAnsi="Times New Roman" w:cs="Times New Roman"/>
          <w:sz w:val="20"/>
          <w:szCs w:val="20"/>
        </w:rPr>
        <w:t>request</w:t>
      </w:r>
      <w:r>
        <w:rPr>
          <w:rFonts w:ascii="Times New Roman" w:hAnsi="Times New Roman" w:cs="Times New Roman" w:hint="eastAsia"/>
          <w:sz w:val="20"/>
          <w:szCs w:val="20"/>
        </w:rPr>
        <w:t>ing</w:t>
      </w:r>
      <w:r>
        <w:rPr>
          <w:rFonts w:ascii="Times New Roman" w:hAnsi="Times New Roman" w:cs="Times New Roman"/>
          <w:sz w:val="20"/>
          <w:szCs w:val="20"/>
        </w:rPr>
        <w:t xml:space="preserve"> repetition and </w:t>
      </w:r>
      <w:r>
        <w:rPr>
          <w:rFonts w:ascii="Times New Roman" w:eastAsia="等线" w:hAnsi="Times New Roman" w:cs="Times New Roman"/>
          <w:sz w:val="20"/>
          <w:szCs w:val="20"/>
        </w:rPr>
        <w:t>report</w:t>
      </w:r>
      <w:r>
        <w:rPr>
          <w:rFonts w:ascii="Times New Roman" w:eastAsia="等线" w:hAnsi="Times New Roman" w:cs="Times New Roman" w:hint="eastAsia"/>
          <w:sz w:val="20"/>
          <w:szCs w:val="20"/>
        </w:rPr>
        <w:t>ing</w:t>
      </w:r>
      <w:r>
        <w:rPr>
          <w:rFonts w:ascii="Times New Roman" w:eastAsia="等线" w:hAnsi="Times New Roman" w:cs="Times New Roman"/>
          <w:sz w:val="20"/>
          <w:szCs w:val="20"/>
        </w:rPr>
        <w:t xml:space="preserve"> repetition capability </w:t>
      </w:r>
      <w:r>
        <w:rPr>
          <w:rFonts w:ascii="Times New Roman" w:eastAsia="等线" w:hAnsi="Times New Roman" w:cs="Times New Roman" w:hint="eastAsia"/>
          <w:sz w:val="20"/>
          <w:szCs w:val="20"/>
        </w:rPr>
        <w:t xml:space="preserve">can be considered </w:t>
      </w:r>
      <w:r>
        <w:rPr>
          <w:rFonts w:ascii="Times New Roman" w:eastAsia="等线" w:hAnsi="Times New Roman" w:cs="Times New Roman"/>
          <w:sz w:val="20"/>
          <w:szCs w:val="20"/>
        </w:rPr>
        <w:t>based on some conditions, e.g., the configuration of SSB RSRP threshold</w:t>
      </w:r>
      <w:r>
        <w:rPr>
          <w:rFonts w:ascii="Times New Roman" w:eastAsia="等线" w:hAnsi="Times New Roman" w:cs="Times New Roman" w:hint="eastAsia"/>
          <w:sz w:val="20"/>
          <w:szCs w:val="20"/>
        </w:rPr>
        <w:t>,</w:t>
      </w:r>
      <w:r>
        <w:rPr>
          <w:rFonts w:ascii="Times New Roman" w:eastAsia="等线" w:hAnsi="Times New Roman" w:cs="Times New Roman"/>
          <w:sz w:val="20"/>
          <w:szCs w:val="20"/>
        </w:rPr>
        <w:t xml:space="preserve"> which is aligned with Rel-17 Msg3 PUSCH repetition mechanism</w:t>
      </w:r>
      <w:r>
        <w:rPr>
          <w:rFonts w:ascii="Times New Roman" w:eastAsia="等线" w:hAnsi="Times New Roman" w:cs="Times New Roman" w:hint="eastAsia"/>
          <w:sz w:val="20"/>
          <w:szCs w:val="20"/>
        </w:rPr>
        <w:t>. The corresponding working assumption achieved in the RAN1#112 meeting is shown as below</w:t>
      </w:r>
      <w:r>
        <w:rPr>
          <w:rFonts w:ascii="Times New Roman" w:eastAsia="等线" w:hAnsi="Times New Roman" w:cs="Times New Roman"/>
          <w:sz w:val="20"/>
          <w:szCs w:val="20"/>
        </w:rPr>
        <w:t xml:space="preserve"> [4]. </w:t>
      </w:r>
    </w:p>
    <w:tbl>
      <w:tblPr>
        <w:tblStyle w:val="aff1"/>
        <w:tblW w:w="0" w:type="auto"/>
        <w:tblInd w:w="119" w:type="dxa"/>
        <w:tblLook w:val="04A0" w:firstRow="1" w:lastRow="0" w:firstColumn="1" w:lastColumn="0" w:noHBand="0" w:noVBand="1"/>
      </w:tblPr>
      <w:tblGrid>
        <w:gridCol w:w="9843"/>
      </w:tblGrid>
      <w:tr w:rsidR="00F91F6C" w14:paraId="14CD2B49" w14:textId="77777777">
        <w:tc>
          <w:tcPr>
            <w:tcW w:w="9919" w:type="dxa"/>
          </w:tcPr>
          <w:p w14:paraId="53C164BE" w14:textId="77777777" w:rsidR="00F91F6C" w:rsidRDefault="00000000">
            <w:pPr>
              <w:spacing w:before="60" w:after="60"/>
              <w:rPr>
                <w:b/>
                <w:sz w:val="20"/>
                <w:szCs w:val="20"/>
              </w:rPr>
            </w:pPr>
            <w:r>
              <w:rPr>
                <w:b/>
                <w:sz w:val="20"/>
                <w:szCs w:val="20"/>
                <w:highlight w:val="darkYellow"/>
              </w:rPr>
              <w:t>RAN1#112 Working assumption</w:t>
            </w:r>
          </w:p>
          <w:p w14:paraId="3D42A60A" w14:textId="77777777" w:rsidR="00F91F6C" w:rsidRDefault="00000000">
            <w:pPr>
              <w:snapToGrid w:val="0"/>
              <w:spacing w:afterLines="50" w:after="120"/>
              <w:rPr>
                <w:sz w:val="20"/>
                <w:szCs w:val="20"/>
              </w:rPr>
            </w:pPr>
            <w:r>
              <w:rPr>
                <w:rFonts w:hint="eastAsia"/>
                <w:sz w:val="20"/>
                <w:szCs w:val="20"/>
              </w:rPr>
              <w:t>For PUCCH repetition for Msg4 HARQ-ACK,</w:t>
            </w:r>
          </w:p>
          <w:p w14:paraId="40E89F61" w14:textId="77777777" w:rsidR="00F91F6C" w:rsidRDefault="00000000">
            <w:pPr>
              <w:numPr>
                <w:ilvl w:val="0"/>
                <w:numId w:val="12"/>
              </w:numPr>
              <w:snapToGrid w:val="0"/>
              <w:spacing w:before="60" w:after="60"/>
              <w:ind w:left="720"/>
              <w:rPr>
                <w:sz w:val="20"/>
                <w:szCs w:val="20"/>
              </w:rPr>
            </w:pPr>
            <w:r>
              <w:rPr>
                <w:rFonts w:hint="eastAsia"/>
                <w:sz w:val="20"/>
                <w:szCs w:val="20"/>
              </w:rPr>
              <w:t>A RSRP threshold can be configured via SIB at least when the number of repetitions is configured by SIB.</w:t>
            </w:r>
          </w:p>
          <w:p w14:paraId="37372C99" w14:textId="77777777" w:rsidR="00F91F6C" w:rsidRDefault="00000000">
            <w:pPr>
              <w:numPr>
                <w:ilvl w:val="1"/>
                <w:numId w:val="12"/>
              </w:numPr>
              <w:snapToGrid w:val="0"/>
              <w:ind w:left="1185"/>
              <w:rPr>
                <w:sz w:val="20"/>
                <w:szCs w:val="20"/>
              </w:rPr>
            </w:pPr>
            <w:r>
              <w:rPr>
                <w:rFonts w:eastAsia="等线" w:hint="eastAsia"/>
                <w:sz w:val="20"/>
                <w:szCs w:val="20"/>
              </w:rPr>
              <w:t xml:space="preserve">If </w:t>
            </w:r>
            <w:r>
              <w:rPr>
                <w:rFonts w:hint="eastAsia"/>
                <w:sz w:val="20"/>
                <w:szCs w:val="20"/>
              </w:rPr>
              <w:t>the RSRP threshold is configured and the configured RSRP threshold is smaller than X,</w:t>
            </w:r>
          </w:p>
          <w:p w14:paraId="5AB6B3AF" w14:textId="77777777" w:rsidR="00F91F6C" w:rsidRDefault="00000000">
            <w:pPr>
              <w:numPr>
                <w:ilvl w:val="2"/>
                <w:numId w:val="12"/>
              </w:numPr>
              <w:snapToGrid w:val="0"/>
              <w:spacing w:before="60" w:after="60"/>
              <w:ind w:left="1661"/>
              <w:rPr>
                <w:sz w:val="20"/>
                <w:szCs w:val="20"/>
              </w:rPr>
            </w:pPr>
            <w:r>
              <w:rPr>
                <w:rFonts w:eastAsia="等线" w:hint="eastAsia"/>
                <w:sz w:val="20"/>
                <w:szCs w:val="20"/>
              </w:rPr>
              <w:t xml:space="preserve">UE </w:t>
            </w:r>
            <w:r>
              <w:rPr>
                <w:rFonts w:hint="eastAsia"/>
                <w:sz w:val="20"/>
                <w:szCs w:val="20"/>
              </w:rPr>
              <w:t>capable of PUCCH repetition for Msg4 HARQ-ACK transmits repetition request if measured RSRP is lower than a RSRP threshold.</w:t>
            </w:r>
          </w:p>
          <w:p w14:paraId="2E183311" w14:textId="77777777" w:rsidR="00F91F6C" w:rsidRDefault="00000000">
            <w:pPr>
              <w:numPr>
                <w:ilvl w:val="1"/>
                <w:numId w:val="12"/>
              </w:numPr>
              <w:snapToGrid w:val="0"/>
              <w:ind w:left="1185"/>
              <w:rPr>
                <w:sz w:val="20"/>
                <w:szCs w:val="20"/>
              </w:rPr>
            </w:pPr>
            <w:r>
              <w:rPr>
                <w:rFonts w:eastAsia="等线" w:hint="eastAsia"/>
                <w:sz w:val="20"/>
                <w:szCs w:val="20"/>
              </w:rPr>
              <w:t xml:space="preserve">If </w:t>
            </w:r>
            <w:r>
              <w:rPr>
                <w:rFonts w:hint="eastAsia"/>
                <w:sz w:val="20"/>
                <w:szCs w:val="20"/>
              </w:rPr>
              <w:t>the RSRP threshold is not configured, or if the configured RSRP threshold is X,</w:t>
            </w:r>
          </w:p>
          <w:p w14:paraId="716BDBA1" w14:textId="77777777" w:rsidR="00F91F6C" w:rsidRDefault="00000000">
            <w:pPr>
              <w:numPr>
                <w:ilvl w:val="2"/>
                <w:numId w:val="12"/>
              </w:numPr>
              <w:snapToGrid w:val="0"/>
              <w:spacing w:before="60" w:after="60"/>
              <w:ind w:left="1661"/>
              <w:rPr>
                <w:sz w:val="20"/>
                <w:szCs w:val="20"/>
              </w:rPr>
            </w:pPr>
            <w:r>
              <w:rPr>
                <w:rFonts w:hint="eastAsia"/>
                <w:sz w:val="20"/>
                <w:szCs w:val="20"/>
              </w:rPr>
              <w:t>UE capable of PUCCH repetition for Msg4 HARQ-ACK reports the capability of PUCCH repetition for Msg4 HARQ-ACK</w:t>
            </w:r>
          </w:p>
          <w:p w14:paraId="51D5A221" w14:textId="77777777" w:rsidR="00F91F6C" w:rsidRDefault="00000000">
            <w:pPr>
              <w:numPr>
                <w:ilvl w:val="1"/>
                <w:numId w:val="12"/>
              </w:numPr>
              <w:snapToGrid w:val="0"/>
              <w:ind w:left="1185"/>
              <w:rPr>
                <w:rFonts w:eastAsia="等线"/>
                <w:sz w:val="20"/>
                <w:szCs w:val="20"/>
              </w:rPr>
            </w:pPr>
            <w:r>
              <w:rPr>
                <w:rFonts w:hint="eastAsia"/>
                <w:sz w:val="20"/>
                <w:szCs w:val="20"/>
              </w:rPr>
              <w:t>FF</w:t>
            </w:r>
            <w:r>
              <w:rPr>
                <w:rFonts w:eastAsia="等线" w:hint="eastAsia"/>
                <w:sz w:val="20"/>
                <w:szCs w:val="20"/>
              </w:rPr>
              <w:t>S: value of X (the maximum configurable value of the RSRP threshold)</w:t>
            </w:r>
          </w:p>
          <w:p w14:paraId="0BB9A289" w14:textId="77777777" w:rsidR="00F91F6C" w:rsidRDefault="00000000">
            <w:pPr>
              <w:numPr>
                <w:ilvl w:val="1"/>
                <w:numId w:val="12"/>
              </w:numPr>
              <w:snapToGrid w:val="0"/>
              <w:ind w:left="1185"/>
              <w:rPr>
                <w:sz w:val="20"/>
                <w:szCs w:val="20"/>
              </w:rPr>
            </w:pPr>
            <w:r>
              <w:rPr>
                <w:rFonts w:eastAsia="等线" w:hint="eastAsia"/>
                <w:sz w:val="20"/>
                <w:szCs w:val="20"/>
              </w:rPr>
              <w:t>Down</w:t>
            </w:r>
            <w:r>
              <w:rPr>
                <w:rFonts w:hint="eastAsia"/>
                <w:sz w:val="20"/>
                <w:szCs w:val="20"/>
              </w:rPr>
              <w:t>-select one from the following alternatives for the RSRP threshold.</w:t>
            </w:r>
          </w:p>
          <w:p w14:paraId="6B9D0D60" w14:textId="77777777" w:rsidR="00F91F6C" w:rsidRDefault="00000000">
            <w:pPr>
              <w:numPr>
                <w:ilvl w:val="2"/>
                <w:numId w:val="12"/>
              </w:numPr>
              <w:snapToGrid w:val="0"/>
              <w:spacing w:before="60" w:after="60"/>
              <w:ind w:left="1661"/>
              <w:rPr>
                <w:rFonts w:eastAsia="等线"/>
                <w:sz w:val="20"/>
                <w:szCs w:val="20"/>
              </w:rPr>
            </w:pPr>
            <w:r>
              <w:rPr>
                <w:rFonts w:hint="eastAsia"/>
                <w:sz w:val="20"/>
                <w:szCs w:val="20"/>
              </w:rPr>
              <w:t>Alt A</w:t>
            </w:r>
            <w:r>
              <w:rPr>
                <w:rFonts w:eastAsia="等线" w:hint="eastAsia"/>
                <w:sz w:val="20"/>
                <w:szCs w:val="20"/>
              </w:rPr>
              <w:t>: The same RSRP threshold as R17 Msg3 repetition (i.e., rsrp-ThresholdMsg3-r17) is used.</w:t>
            </w:r>
          </w:p>
          <w:p w14:paraId="03171124" w14:textId="77777777" w:rsidR="00F91F6C" w:rsidRDefault="00000000">
            <w:pPr>
              <w:numPr>
                <w:ilvl w:val="2"/>
                <w:numId w:val="12"/>
              </w:numPr>
              <w:snapToGrid w:val="0"/>
              <w:spacing w:before="60" w:after="60"/>
              <w:ind w:left="1661"/>
              <w:rPr>
                <w:sz w:val="20"/>
                <w:szCs w:val="20"/>
              </w:rPr>
            </w:pPr>
            <w:r>
              <w:rPr>
                <w:rFonts w:eastAsia="等线" w:hint="eastAsia"/>
                <w:sz w:val="20"/>
                <w:szCs w:val="20"/>
              </w:rPr>
              <w:t>Alt B: N</w:t>
            </w:r>
            <w:r>
              <w:rPr>
                <w:rFonts w:hint="eastAsia"/>
                <w:sz w:val="20"/>
                <w:szCs w:val="20"/>
              </w:rPr>
              <w:t>ew RSRP threshold is introduced.</w:t>
            </w:r>
          </w:p>
          <w:p w14:paraId="26F94FE5" w14:textId="77777777" w:rsidR="00F91F6C" w:rsidRDefault="00000000">
            <w:pPr>
              <w:numPr>
                <w:ilvl w:val="0"/>
                <w:numId w:val="12"/>
              </w:numPr>
              <w:snapToGrid w:val="0"/>
              <w:spacing w:before="60" w:after="60"/>
              <w:ind w:left="720"/>
              <w:rPr>
                <w:sz w:val="20"/>
                <w:szCs w:val="20"/>
              </w:rPr>
            </w:pPr>
            <w:r>
              <w:rPr>
                <w:rFonts w:hint="eastAsia"/>
                <w:sz w:val="20"/>
                <w:szCs w:val="20"/>
              </w:rPr>
              <w:t>Note: UE incapable of PUCCH repetition for Msg4 HARQ-ACK transmits neither repetition request nor capability report</w:t>
            </w:r>
          </w:p>
          <w:p w14:paraId="457AD86A" w14:textId="77777777" w:rsidR="00F91F6C" w:rsidRDefault="00F91F6C">
            <w:pPr>
              <w:snapToGrid w:val="0"/>
              <w:spacing w:before="60" w:after="60"/>
              <w:rPr>
                <w:sz w:val="20"/>
                <w:szCs w:val="20"/>
              </w:rPr>
            </w:pPr>
          </w:p>
        </w:tc>
      </w:tr>
    </w:tbl>
    <w:p w14:paraId="1E023BA8" w14:textId="6DA330AA" w:rsidR="00F91F6C" w:rsidRDefault="00000000">
      <w:pPr>
        <w:spacing w:beforeLines="50" w:before="120" w:afterLines="50" w:after="120"/>
        <w:rPr>
          <w:rFonts w:ascii="Times New Roman" w:eastAsia="MS Mincho" w:hAnsi="Times New Roman" w:cs="Times New Roman"/>
          <w:sz w:val="20"/>
          <w:szCs w:val="20"/>
          <w:lang w:eastAsia="en-US"/>
        </w:rPr>
      </w:pPr>
      <w:r>
        <w:rPr>
          <w:rFonts w:ascii="Times New Roman" w:eastAsia="等线" w:hAnsi="Times New Roman" w:cs="Times New Roman"/>
          <w:sz w:val="20"/>
          <w:szCs w:val="20"/>
        </w:rPr>
        <w:t xml:space="preserve">From our understanding, the </w:t>
      </w:r>
      <w:r>
        <w:rPr>
          <w:rFonts w:ascii="Times New Roman" w:eastAsia="等线" w:hAnsi="Times New Roman" w:cs="Times New Roman" w:hint="eastAsia"/>
          <w:sz w:val="20"/>
          <w:szCs w:val="20"/>
        </w:rPr>
        <w:t>configuration</w:t>
      </w:r>
      <w:r>
        <w:rPr>
          <w:rFonts w:ascii="Times New Roman" w:eastAsia="等线" w:hAnsi="Times New Roman" w:cs="Times New Roman"/>
          <w:sz w:val="20"/>
          <w:szCs w:val="20"/>
        </w:rPr>
        <w:t xml:space="preserve"> of RSRP threshold</w:t>
      </w:r>
      <w:r w:rsidR="008A30C6">
        <w:rPr>
          <w:rFonts w:ascii="Times New Roman" w:eastAsia="等线" w:hAnsi="Times New Roman" w:cs="Times New Roman"/>
          <w:sz w:val="20"/>
          <w:szCs w:val="20"/>
        </w:rPr>
        <w:t xml:space="preserve"> of </w:t>
      </w:r>
      <w:r w:rsidR="008A30C6" w:rsidRPr="008A30C6">
        <w:rPr>
          <w:rFonts w:ascii="Times New Roman" w:eastAsia="等线" w:hAnsi="Times New Roman" w:cs="Times New Roman"/>
          <w:sz w:val="20"/>
          <w:szCs w:val="20"/>
        </w:rPr>
        <w:t>PUCCH repetition for Msg4 HARQ-ACK</w:t>
      </w:r>
      <w:r w:rsidR="008A30C6">
        <w:rPr>
          <w:rFonts w:ascii="Times New Roman" w:eastAsia="等线" w:hAnsi="Times New Roman" w:cs="Times New Roman"/>
          <w:sz w:val="20"/>
          <w:szCs w:val="20"/>
        </w:rPr>
        <w:t xml:space="preserve"> in the WA can be confirmed</w:t>
      </w:r>
      <w:r>
        <w:rPr>
          <w:rFonts w:ascii="Times New Roman" w:eastAsia="等线" w:hAnsi="Times New Roman" w:cs="Times New Roman"/>
          <w:sz w:val="20"/>
          <w:szCs w:val="20"/>
        </w:rPr>
        <w:t xml:space="preserve"> </w:t>
      </w:r>
      <w:r w:rsidR="008A30C6">
        <w:rPr>
          <w:rFonts w:ascii="Times New Roman" w:eastAsia="等线" w:hAnsi="Times New Roman" w:cs="Times New Roman"/>
          <w:sz w:val="20"/>
          <w:szCs w:val="20"/>
        </w:rPr>
        <w:t>to determine</w:t>
      </w:r>
      <w:r>
        <w:rPr>
          <w:rFonts w:ascii="Times New Roman" w:eastAsia="等线" w:hAnsi="Times New Roman" w:cs="Times New Roman"/>
          <w:sz w:val="20"/>
          <w:szCs w:val="20"/>
        </w:rPr>
        <w:t xml:space="preserve"> whether UE requests repetition or reports capability. If the RSRP threshold is configured among the candidates of </w:t>
      </w:r>
      <w:r>
        <w:rPr>
          <w:rFonts w:ascii="Times New Roman" w:eastAsia="等线" w:hAnsi="Times New Roman" w:cs="Times New Roman"/>
          <w:i/>
          <w:iCs/>
          <w:sz w:val="20"/>
          <w:szCs w:val="20"/>
        </w:rPr>
        <w:t>RSRP-Range</w:t>
      </w:r>
      <w:r>
        <w:rPr>
          <w:rFonts w:ascii="Times New Roman" w:eastAsia="等线" w:hAnsi="Times New Roman" w:cs="Times New Roman"/>
          <w:sz w:val="20"/>
          <w:szCs w:val="20"/>
        </w:rPr>
        <w:t xml:space="preserve">, </w:t>
      </w:r>
      <w:r>
        <w:rPr>
          <w:rFonts w:ascii="Times New Roman" w:eastAsia="宋体" w:hAnsi="Times New Roman" w:cs="Times New Roman" w:hint="eastAsia"/>
          <w:bCs/>
          <w:kern w:val="0"/>
          <w:sz w:val="20"/>
          <w:szCs w:val="20"/>
        </w:rPr>
        <w:t xml:space="preserve">UE </w:t>
      </w:r>
      <w:r>
        <w:rPr>
          <w:rFonts w:ascii="Times New Roman" w:eastAsia="宋体" w:hAnsi="Times New Roman" w:cs="Times New Roman"/>
          <w:bCs/>
          <w:kern w:val="0"/>
          <w:sz w:val="20"/>
          <w:szCs w:val="20"/>
        </w:rPr>
        <w:t xml:space="preserve">can </w:t>
      </w:r>
      <w:r>
        <w:rPr>
          <w:rFonts w:ascii="Times New Roman" w:eastAsia="宋体" w:hAnsi="Times New Roman" w:cs="Times New Roman" w:hint="eastAsia"/>
          <w:bCs/>
          <w:kern w:val="0"/>
          <w:sz w:val="20"/>
          <w:szCs w:val="20"/>
        </w:rPr>
        <w:t xml:space="preserve">request Msg4 HARQ-ACK repetition when </w:t>
      </w:r>
      <w:r>
        <w:rPr>
          <w:rFonts w:ascii="Times New Roman" w:eastAsia="宋体" w:hAnsi="Times New Roman" w:cs="Times New Roman"/>
          <w:bCs/>
          <w:kern w:val="0"/>
          <w:sz w:val="20"/>
          <w:szCs w:val="20"/>
        </w:rPr>
        <w:t xml:space="preserve">the </w:t>
      </w:r>
      <w:r>
        <w:rPr>
          <w:rFonts w:ascii="Times New Roman" w:eastAsia="宋体" w:hAnsi="Times New Roman" w:cs="Times New Roman" w:hint="eastAsia"/>
          <w:bCs/>
          <w:kern w:val="0"/>
          <w:sz w:val="20"/>
          <w:szCs w:val="20"/>
        </w:rPr>
        <w:t xml:space="preserve">measured RSRP </w:t>
      </w:r>
      <w:r>
        <w:rPr>
          <w:rFonts w:ascii="Times New Roman" w:eastAsia="宋体" w:hAnsi="Times New Roman" w:cs="Times New Roman"/>
          <w:bCs/>
          <w:kern w:val="0"/>
          <w:sz w:val="20"/>
          <w:szCs w:val="20"/>
        </w:rPr>
        <w:t xml:space="preserve">is lower than the configured RSRP threshold. Otherwise, if the RSRP threshold is not configured, UE is allowed to report its capability on </w:t>
      </w:r>
      <w:r>
        <w:rPr>
          <w:rFonts w:ascii="Times New Roman" w:eastAsia="MS Mincho" w:hAnsi="Times New Roman" w:cs="Times New Roman" w:hint="eastAsia"/>
          <w:sz w:val="20"/>
          <w:szCs w:val="20"/>
          <w:lang w:eastAsia="en-US"/>
        </w:rPr>
        <w:t>PUCCH repetition for Msg4 HARQ-ACK</w:t>
      </w:r>
      <w:r>
        <w:rPr>
          <w:rFonts w:ascii="Times New Roman" w:eastAsia="MS Mincho" w:hAnsi="Times New Roman" w:cs="Times New Roman"/>
          <w:sz w:val="20"/>
          <w:szCs w:val="20"/>
          <w:lang w:eastAsia="en-US"/>
        </w:rPr>
        <w:t>.</w:t>
      </w:r>
    </w:p>
    <w:p w14:paraId="56B74EFB" w14:textId="2177B7CC" w:rsidR="00F91F6C" w:rsidRDefault="00000000">
      <w:pPr>
        <w:spacing w:beforeLines="50" w:before="120" w:afterLines="50" w:after="120"/>
        <w:rPr>
          <w:rFonts w:ascii="Times New Roman" w:eastAsia="宋体" w:hAnsi="Times New Roman" w:cs="Times New Roman"/>
          <w:sz w:val="20"/>
          <w:szCs w:val="20"/>
        </w:rPr>
      </w:pPr>
      <w:r>
        <w:rPr>
          <w:rFonts w:ascii="Times New Roman" w:eastAsia="MS Mincho" w:hAnsi="Times New Roman" w:cs="Times New Roman"/>
          <w:sz w:val="20"/>
          <w:szCs w:val="20"/>
          <w:lang w:eastAsia="en-US"/>
        </w:rPr>
        <w:t>Another issue is when UE requests PUCCH repetition for HARQ-ACK, whether additional configured RSRP threshold or the same RSRP threshold as R17 Msg3 repetition should be used for UE requesting repetitions. Considering that the payload of Msg4 HARQ-ACK is usually smaller than that of Msg3, and the coverage performance is different between PUCCH Msg4 HARQ-ACK and Msg3</w:t>
      </w:r>
      <w:r w:rsidR="00D1278F">
        <w:rPr>
          <w:rFonts w:ascii="Times New Roman" w:eastAsia="MS Mincho" w:hAnsi="Times New Roman" w:cs="Times New Roman"/>
          <w:sz w:val="20"/>
          <w:szCs w:val="20"/>
          <w:lang w:eastAsia="en-US"/>
        </w:rPr>
        <w:t xml:space="preserve"> PUSCH</w:t>
      </w:r>
      <w:r>
        <w:rPr>
          <w:rFonts w:ascii="Times New Roman" w:eastAsia="MS Mincho" w:hAnsi="Times New Roman" w:cs="Times New Roman"/>
          <w:sz w:val="20"/>
          <w:szCs w:val="20"/>
          <w:lang w:eastAsia="en-US"/>
        </w:rPr>
        <w:t xml:space="preserve">, it is reasonable that UE decides whether to request PUCCH repetition and Rel-17 Msg3 repetition based on </w:t>
      </w:r>
      <w:r w:rsidR="00D1278F">
        <w:rPr>
          <w:rFonts w:ascii="Times New Roman" w:eastAsia="MS Mincho" w:hAnsi="Times New Roman" w:cs="Times New Roman"/>
          <w:sz w:val="20"/>
          <w:szCs w:val="20"/>
          <w:lang w:eastAsia="en-US"/>
        </w:rPr>
        <w:t xml:space="preserve">separate </w:t>
      </w:r>
      <w:r>
        <w:rPr>
          <w:rFonts w:ascii="Times New Roman" w:eastAsia="MS Mincho" w:hAnsi="Times New Roman" w:cs="Times New Roman"/>
          <w:sz w:val="20"/>
          <w:szCs w:val="20"/>
          <w:lang w:eastAsia="en-US"/>
        </w:rPr>
        <w:t>RSRP threshold</w:t>
      </w:r>
      <w:r w:rsidR="00D1278F">
        <w:rPr>
          <w:rFonts w:ascii="Times New Roman" w:eastAsia="MS Mincho" w:hAnsi="Times New Roman" w:cs="Times New Roman"/>
          <w:sz w:val="20"/>
          <w:szCs w:val="20"/>
          <w:lang w:eastAsia="en-US"/>
        </w:rPr>
        <w:t xml:space="preserve"> configuration</w:t>
      </w:r>
      <w:r>
        <w:rPr>
          <w:rFonts w:ascii="Times New Roman" w:eastAsia="MS Mincho" w:hAnsi="Times New Roman" w:cs="Times New Roman"/>
          <w:sz w:val="20"/>
          <w:szCs w:val="20"/>
          <w:lang w:eastAsia="en-US"/>
        </w:rPr>
        <w:t xml:space="preserve">. Thus, </w:t>
      </w:r>
      <w:r w:rsidR="00D1278F">
        <w:rPr>
          <w:rFonts w:ascii="Times New Roman" w:eastAsia="MS Mincho" w:hAnsi="Times New Roman" w:cs="Times New Roman"/>
          <w:sz w:val="20"/>
          <w:szCs w:val="20"/>
          <w:lang w:eastAsia="en-US"/>
        </w:rPr>
        <w:t xml:space="preserve">the </w:t>
      </w:r>
      <w:r>
        <w:rPr>
          <w:rFonts w:ascii="Times New Roman" w:eastAsia="MS Mincho" w:hAnsi="Times New Roman" w:cs="Times New Roman"/>
          <w:sz w:val="20"/>
          <w:szCs w:val="20"/>
          <w:lang w:eastAsia="en-US"/>
        </w:rPr>
        <w:t xml:space="preserve">RSRP threshold for requesting repetition of Msg4 HARQ-ACK </w:t>
      </w:r>
      <w:r w:rsidR="002940C0">
        <w:rPr>
          <w:rFonts w:ascii="Times New Roman" w:eastAsia="MS Mincho" w:hAnsi="Times New Roman" w:cs="Times New Roman"/>
          <w:sz w:val="20"/>
          <w:szCs w:val="20"/>
          <w:lang w:eastAsia="en-US"/>
        </w:rPr>
        <w:t>should be configured</w:t>
      </w:r>
      <w:r w:rsidR="002940C0">
        <w:rPr>
          <w:rFonts w:ascii="Times New Roman" w:eastAsia="MS Mincho" w:hAnsi="Times New Roman" w:cs="Times New Roman"/>
          <w:sz w:val="20"/>
          <w:szCs w:val="20"/>
          <w:lang w:eastAsia="en-US"/>
        </w:rPr>
        <w:t xml:space="preserve"> independently from the RSRP threshold of </w:t>
      </w:r>
      <w:r>
        <w:rPr>
          <w:rFonts w:ascii="Times New Roman" w:eastAsia="MS Mincho" w:hAnsi="Times New Roman" w:cs="Times New Roman"/>
          <w:sz w:val="20"/>
          <w:szCs w:val="20"/>
          <w:lang w:eastAsia="en-US"/>
        </w:rPr>
        <w:t>PUSCH Msg3</w:t>
      </w:r>
      <w:r w:rsidR="002940C0">
        <w:rPr>
          <w:rFonts w:ascii="Times New Roman" w:eastAsia="MS Mincho" w:hAnsi="Times New Roman" w:cs="Times New Roman"/>
          <w:sz w:val="20"/>
          <w:szCs w:val="20"/>
          <w:lang w:eastAsia="en-US"/>
        </w:rPr>
        <w:t>.</w:t>
      </w:r>
      <w:r>
        <w:rPr>
          <w:rFonts w:ascii="Times New Roman" w:eastAsia="宋体" w:hAnsi="Times New Roman" w:cs="Times New Roman" w:hint="eastAsia"/>
          <w:sz w:val="20"/>
          <w:szCs w:val="20"/>
        </w:rPr>
        <w:t xml:space="preserve">  </w:t>
      </w:r>
    </w:p>
    <w:p w14:paraId="515DE0CE" w14:textId="77777777" w:rsidR="00F91F6C" w:rsidRDefault="00000000">
      <w:pPr>
        <w:tabs>
          <w:tab w:val="left" w:pos="1011"/>
        </w:tabs>
        <w:snapToGrid w:val="0"/>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Proposal 1</w:t>
      </w:r>
      <w:r>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For PUCCH repetition for Msg4 HARQ-ACK,</w:t>
      </w:r>
    </w:p>
    <w:p w14:paraId="19860EB6" w14:textId="77777777" w:rsidR="00F91F6C" w:rsidRDefault="00000000">
      <w:pPr>
        <w:pStyle w:val="aff9"/>
        <w:numPr>
          <w:ilvl w:val="0"/>
          <w:numId w:val="13"/>
        </w:numPr>
        <w:spacing w:before="120" w:after="120"/>
        <w:ind w:left="726" w:firstLineChars="0" w:hanging="363"/>
        <w:jc w:val="both"/>
        <w:rPr>
          <w:rFonts w:eastAsia="宋体" w:cs="Times New Roman"/>
          <w:b/>
          <w:sz w:val="20"/>
          <w:szCs w:val="20"/>
        </w:rPr>
      </w:pPr>
      <w:r>
        <w:rPr>
          <w:rFonts w:eastAsia="宋体" w:cs="Times New Roman" w:hint="eastAsia"/>
          <w:b/>
          <w:sz w:val="20"/>
          <w:szCs w:val="20"/>
        </w:rPr>
        <w:t>A RSRP threshold can be configured via SIB at least when the number of repetitions is configured by SIB.</w:t>
      </w:r>
    </w:p>
    <w:p w14:paraId="46EF27B8" w14:textId="77777777" w:rsidR="00F91F6C" w:rsidRDefault="00000000">
      <w:pPr>
        <w:pStyle w:val="aff9"/>
        <w:numPr>
          <w:ilvl w:val="1"/>
          <w:numId w:val="13"/>
        </w:numPr>
        <w:spacing w:before="120" w:after="120"/>
        <w:ind w:left="1146" w:firstLineChars="0" w:hanging="363"/>
        <w:jc w:val="both"/>
        <w:rPr>
          <w:rFonts w:eastAsia="宋体" w:cs="Times New Roman"/>
          <w:b/>
          <w:sz w:val="20"/>
          <w:szCs w:val="20"/>
        </w:rPr>
      </w:pPr>
      <w:r>
        <w:rPr>
          <w:rFonts w:eastAsia="宋体" w:cs="Times New Roman" w:hint="eastAsia"/>
          <w:b/>
          <w:sz w:val="20"/>
          <w:szCs w:val="20"/>
        </w:rPr>
        <w:t>If the RSRP threshold is configured among the candidates of RSRP-Range,</w:t>
      </w:r>
    </w:p>
    <w:p w14:paraId="5FD3A23F" w14:textId="77777777" w:rsidR="00F91F6C" w:rsidRDefault="00000000">
      <w:pPr>
        <w:pStyle w:val="aff9"/>
        <w:numPr>
          <w:ilvl w:val="2"/>
          <w:numId w:val="13"/>
        </w:numPr>
        <w:spacing w:before="120" w:after="120"/>
        <w:ind w:left="1566" w:firstLineChars="0" w:hanging="363"/>
        <w:jc w:val="both"/>
        <w:rPr>
          <w:rFonts w:eastAsia="宋体" w:cs="Times New Roman"/>
          <w:b/>
          <w:sz w:val="20"/>
          <w:szCs w:val="20"/>
        </w:rPr>
      </w:pPr>
      <w:r>
        <w:rPr>
          <w:rFonts w:eastAsia="宋体" w:cs="Times New Roman" w:hint="eastAsia"/>
          <w:b/>
          <w:sz w:val="20"/>
          <w:szCs w:val="20"/>
        </w:rPr>
        <w:t>UE capable of PUCCH repetition for Msg4 HARQ-ACK transmits repetition request if measured RSRP is lower than a RSRP threshold.</w:t>
      </w:r>
    </w:p>
    <w:p w14:paraId="55043403" w14:textId="77777777" w:rsidR="00F91F6C" w:rsidRDefault="00000000">
      <w:pPr>
        <w:pStyle w:val="aff9"/>
        <w:numPr>
          <w:ilvl w:val="1"/>
          <w:numId w:val="13"/>
        </w:numPr>
        <w:spacing w:before="120" w:after="120"/>
        <w:ind w:left="1146" w:firstLineChars="0" w:hanging="363"/>
        <w:jc w:val="both"/>
        <w:rPr>
          <w:rFonts w:eastAsia="宋体" w:cs="Times New Roman"/>
          <w:b/>
          <w:sz w:val="20"/>
          <w:szCs w:val="20"/>
        </w:rPr>
      </w:pPr>
      <w:r>
        <w:rPr>
          <w:rFonts w:eastAsia="宋体" w:cs="Times New Roman" w:hint="eastAsia"/>
          <w:b/>
          <w:sz w:val="20"/>
          <w:szCs w:val="20"/>
        </w:rPr>
        <w:lastRenderedPageBreak/>
        <w:t>If the RSRP threshold is not configured,</w:t>
      </w:r>
    </w:p>
    <w:p w14:paraId="1D4C2ADD" w14:textId="77777777" w:rsidR="00F91F6C" w:rsidRDefault="00000000">
      <w:pPr>
        <w:pStyle w:val="aff9"/>
        <w:numPr>
          <w:ilvl w:val="2"/>
          <w:numId w:val="13"/>
        </w:numPr>
        <w:spacing w:before="120" w:after="120"/>
        <w:ind w:left="1566" w:firstLineChars="0" w:hanging="363"/>
        <w:jc w:val="both"/>
        <w:rPr>
          <w:rFonts w:eastAsia="宋体" w:cs="Times New Roman"/>
          <w:b/>
          <w:sz w:val="20"/>
          <w:szCs w:val="20"/>
        </w:rPr>
      </w:pPr>
      <w:r>
        <w:rPr>
          <w:rFonts w:eastAsia="宋体" w:cs="Times New Roman" w:hint="eastAsia"/>
          <w:b/>
          <w:sz w:val="20"/>
          <w:szCs w:val="20"/>
        </w:rPr>
        <w:t>UE capable of PUCCH repetition for Msg4 HARQ-ACK reports the capability of PUCCH repetition for Msg4 HARQ-ACK</w:t>
      </w:r>
      <w:r>
        <w:rPr>
          <w:rFonts w:eastAsia="宋体" w:cs="Times New Roman"/>
          <w:b/>
          <w:sz w:val="20"/>
          <w:szCs w:val="20"/>
        </w:rPr>
        <w:t>.</w:t>
      </w:r>
    </w:p>
    <w:p w14:paraId="0E15169D" w14:textId="77777777" w:rsidR="00F91F6C" w:rsidRDefault="00000000">
      <w:pPr>
        <w:pStyle w:val="aff9"/>
        <w:numPr>
          <w:ilvl w:val="1"/>
          <w:numId w:val="13"/>
        </w:numPr>
        <w:spacing w:before="120" w:after="120"/>
        <w:ind w:left="1146" w:firstLineChars="0" w:hanging="363"/>
        <w:jc w:val="both"/>
        <w:rPr>
          <w:rFonts w:eastAsia="宋体" w:cs="Times New Roman"/>
          <w:b/>
          <w:sz w:val="20"/>
          <w:szCs w:val="20"/>
        </w:rPr>
      </w:pPr>
      <w:r>
        <w:rPr>
          <w:rFonts w:eastAsia="宋体" w:cs="Times New Roman"/>
          <w:b/>
          <w:sz w:val="20"/>
          <w:szCs w:val="20"/>
        </w:rPr>
        <w:t>For PUCCH repetition request for Msg4 HARQ-ACK, different RSRP threshold from R17 Msg3 repetition can be configured</w:t>
      </w:r>
      <w:r>
        <w:rPr>
          <w:rFonts w:eastAsia="宋体" w:cs="Times New Roman" w:hint="eastAsia"/>
          <w:b/>
          <w:sz w:val="20"/>
          <w:szCs w:val="20"/>
        </w:rPr>
        <w:t xml:space="preserve"> independently.</w:t>
      </w:r>
    </w:p>
    <w:p w14:paraId="5A112C99" w14:textId="77777777" w:rsidR="00F91F6C" w:rsidRDefault="00000000">
      <w:pPr>
        <w:pStyle w:val="aff9"/>
        <w:numPr>
          <w:ilvl w:val="0"/>
          <w:numId w:val="13"/>
        </w:numPr>
        <w:spacing w:before="120" w:after="120"/>
        <w:ind w:left="726" w:firstLineChars="0" w:hanging="363"/>
        <w:jc w:val="both"/>
        <w:rPr>
          <w:rFonts w:cs="Times New Roman"/>
          <w:sz w:val="20"/>
          <w:szCs w:val="20"/>
        </w:rPr>
      </w:pPr>
      <w:r>
        <w:rPr>
          <w:rFonts w:eastAsia="宋体" w:cs="Times New Roman" w:hint="eastAsia"/>
          <w:b/>
          <w:sz w:val="20"/>
          <w:szCs w:val="20"/>
        </w:rPr>
        <w:t>Note: UE incapable of PUCCH repetition for Msg4 HARQ-ACK transmits neither repetition request nor capability report</w:t>
      </w:r>
      <w:r>
        <w:rPr>
          <w:rFonts w:eastAsia="宋体" w:cs="Times New Roman"/>
          <w:b/>
          <w:sz w:val="20"/>
          <w:szCs w:val="20"/>
        </w:rPr>
        <w:t>.</w:t>
      </w:r>
    </w:p>
    <w:p w14:paraId="5FE8BFD3" w14:textId="77777777" w:rsidR="00F91F6C" w:rsidRDefault="00000000">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b/>
          <w:iCs/>
          <w:sz w:val="22"/>
          <w:szCs w:val="22"/>
        </w:rPr>
        <w:t>2.1.</w:t>
      </w:r>
      <w:r>
        <w:rPr>
          <w:rFonts w:ascii="Times New Roman" w:hAnsi="Times New Roman" w:cs="Times New Roman" w:hint="eastAsia"/>
          <w:b/>
          <w:iCs/>
          <w:sz w:val="22"/>
          <w:szCs w:val="22"/>
        </w:rPr>
        <w:t>2</w:t>
      </w:r>
      <w:r>
        <w:rPr>
          <w:rFonts w:ascii="Times New Roman" w:hAnsi="Times New Roman" w:cs="Times New Roman"/>
          <w:b/>
          <w:iCs/>
          <w:sz w:val="22"/>
          <w:szCs w:val="22"/>
        </w:rPr>
        <w:t xml:space="preserve"> Dynamic indication/configuration by gNB</w:t>
      </w:r>
    </w:p>
    <w:p w14:paraId="7F13DE1C" w14:textId="7A4E2340" w:rsidR="00F91F6C" w:rsidRDefault="00F33075">
      <w:pPr>
        <w:widowControl/>
        <w:spacing w:before="120" w:after="12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 xml:space="preserve">Regarding </w:t>
      </w:r>
      <w:r w:rsidR="00000000">
        <w:rPr>
          <w:rFonts w:ascii="Times New Roman" w:eastAsia="MS Mincho" w:hAnsi="Times New Roman" w:cs="Times New Roman"/>
          <w:kern w:val="0"/>
          <w:sz w:val="20"/>
          <w:szCs w:val="20"/>
          <w:lang w:eastAsia="en-US"/>
        </w:rPr>
        <w:t>the</w:t>
      </w:r>
      <w:r w:rsidR="00000000">
        <w:rPr>
          <w:rFonts w:ascii="Times New Roman" w:eastAsia="宋体" w:hAnsi="Times New Roman" w:cs="Times New Roman" w:hint="eastAsia"/>
          <w:kern w:val="0"/>
          <w:sz w:val="20"/>
          <w:szCs w:val="20"/>
        </w:rPr>
        <w:t xml:space="preserve"> configuration of</w:t>
      </w:r>
      <w:r w:rsidR="00000000">
        <w:rPr>
          <w:rFonts w:ascii="Times New Roman" w:eastAsia="MS Mincho" w:hAnsi="Times New Roman" w:cs="Times New Roman"/>
          <w:kern w:val="0"/>
          <w:sz w:val="20"/>
          <w:szCs w:val="20"/>
          <w:lang w:eastAsia="en-US"/>
        </w:rPr>
        <w:t xml:space="preserve"> PUCCH repetition for Msg4 HARQ-ACK in NTN, repetition factor 2, 4, 8 are acceptable according to the conclusion achieved in the RAN1#110bis-e meeting. One </w:t>
      </w:r>
      <w:r w:rsidR="00000000">
        <w:rPr>
          <w:rFonts w:ascii="Times New Roman" w:eastAsia="宋体" w:hAnsi="Times New Roman" w:cs="Times New Roman" w:hint="eastAsia"/>
          <w:kern w:val="0"/>
          <w:sz w:val="20"/>
          <w:szCs w:val="20"/>
        </w:rPr>
        <w:t xml:space="preserve">of the </w:t>
      </w:r>
      <w:r w:rsidR="00000000">
        <w:rPr>
          <w:rFonts w:ascii="Times New Roman" w:eastAsia="MS Mincho" w:hAnsi="Times New Roman" w:cs="Times New Roman"/>
          <w:kern w:val="0"/>
          <w:sz w:val="20"/>
          <w:szCs w:val="20"/>
          <w:lang w:eastAsia="en-US"/>
        </w:rPr>
        <w:t>remaining issue</w:t>
      </w:r>
      <w:r>
        <w:rPr>
          <w:rFonts w:ascii="Times New Roman" w:eastAsia="MS Mincho" w:hAnsi="Times New Roman" w:cs="Times New Roman"/>
          <w:kern w:val="0"/>
          <w:sz w:val="20"/>
          <w:szCs w:val="20"/>
          <w:lang w:eastAsia="en-US"/>
        </w:rPr>
        <w:t>s</w:t>
      </w:r>
      <w:r w:rsidR="00000000">
        <w:rPr>
          <w:rFonts w:ascii="Times New Roman" w:eastAsia="MS Mincho" w:hAnsi="Times New Roman" w:cs="Times New Roman"/>
          <w:kern w:val="0"/>
          <w:sz w:val="20"/>
          <w:szCs w:val="20"/>
          <w:lang w:eastAsia="en-US"/>
        </w:rPr>
        <w:t xml:space="preserve"> is the configuration/indication of the repetition factor for the single PUCCH transmission. For the case when only one repetition factor is configured by SIB, there is no need to configure “1” repetition factor for PUCCH repetition for Msg4 HARQ-ACK as agreed in the last meeting. While for the case when multiple repetition factors are configured in SIB, whether/how single PUCCH transmission can be configured and/or indicated needs to be further discussed. </w:t>
      </w:r>
    </w:p>
    <w:tbl>
      <w:tblPr>
        <w:tblStyle w:val="aff1"/>
        <w:tblW w:w="0" w:type="auto"/>
        <w:tblInd w:w="119" w:type="dxa"/>
        <w:tblLook w:val="04A0" w:firstRow="1" w:lastRow="0" w:firstColumn="1" w:lastColumn="0" w:noHBand="0" w:noVBand="1"/>
      </w:tblPr>
      <w:tblGrid>
        <w:gridCol w:w="9843"/>
      </w:tblGrid>
      <w:tr w:rsidR="00F91F6C" w14:paraId="522A09C4" w14:textId="77777777">
        <w:tc>
          <w:tcPr>
            <w:tcW w:w="9919" w:type="dxa"/>
          </w:tcPr>
          <w:p w14:paraId="383CDDEB" w14:textId="77777777" w:rsidR="00F91F6C" w:rsidRDefault="00000000">
            <w:pPr>
              <w:spacing w:beforeLines="50" w:before="120" w:afterLines="50" w:after="120"/>
              <w:rPr>
                <w:b/>
                <w:sz w:val="20"/>
                <w:szCs w:val="20"/>
              </w:rPr>
            </w:pPr>
            <w:r>
              <w:rPr>
                <w:b/>
                <w:sz w:val="20"/>
                <w:szCs w:val="20"/>
                <w:highlight w:val="green"/>
              </w:rPr>
              <w:t>RAN1#110bis-e Agreement</w:t>
            </w:r>
          </w:p>
          <w:p w14:paraId="121A630E" w14:textId="77777777" w:rsidR="00F91F6C" w:rsidRDefault="00000000">
            <w:pPr>
              <w:spacing w:beforeLines="50" w:before="120"/>
              <w:rPr>
                <w:sz w:val="20"/>
                <w:szCs w:val="20"/>
              </w:rPr>
            </w:pPr>
            <w:r>
              <w:rPr>
                <w:sz w:val="20"/>
                <w:szCs w:val="20"/>
              </w:rPr>
              <w:t>For PUCCH transmission for Msg4 HARQ-ACK, supported number of transmissions are 1, 2, 4, 8.</w:t>
            </w:r>
          </w:p>
          <w:p w14:paraId="1956CC08" w14:textId="77777777" w:rsidR="00F91F6C" w:rsidRDefault="00000000">
            <w:pPr>
              <w:numPr>
                <w:ilvl w:val="0"/>
                <w:numId w:val="12"/>
              </w:numPr>
              <w:snapToGrid w:val="0"/>
              <w:spacing w:beforeLines="50" w:before="120"/>
              <w:ind w:left="720"/>
              <w:rPr>
                <w:sz w:val="20"/>
                <w:szCs w:val="20"/>
              </w:rPr>
            </w:pPr>
            <w:r>
              <w:rPr>
                <w:sz w:val="20"/>
                <w:szCs w:val="20"/>
              </w:rPr>
              <w:t>Note: single PUCCH transmission is performed as in the existing specification, and/or (if supported for single PUCCH transmission) according to configuration/indication e.g., in signaling with respect to number of transmissions.</w:t>
            </w:r>
          </w:p>
          <w:p w14:paraId="31DE0E5F" w14:textId="77777777" w:rsidR="00F91F6C" w:rsidRDefault="00000000">
            <w:pPr>
              <w:numPr>
                <w:ilvl w:val="0"/>
                <w:numId w:val="12"/>
              </w:numPr>
              <w:snapToGrid w:val="0"/>
              <w:spacing w:beforeLines="50" w:before="120"/>
              <w:ind w:left="720"/>
              <w:rPr>
                <w:sz w:val="20"/>
                <w:szCs w:val="20"/>
              </w:rPr>
            </w:pPr>
            <w:r>
              <w:rPr>
                <w:sz w:val="20"/>
                <w:szCs w:val="20"/>
              </w:rPr>
              <w:t>FFS: whether larger number of transmissions is supported</w:t>
            </w:r>
          </w:p>
          <w:p w14:paraId="2EDA2695" w14:textId="77777777" w:rsidR="00F91F6C" w:rsidRDefault="00000000">
            <w:pPr>
              <w:numPr>
                <w:ilvl w:val="0"/>
                <w:numId w:val="12"/>
              </w:numPr>
              <w:snapToGrid w:val="0"/>
              <w:spacing w:beforeLines="50" w:before="120" w:afterLines="50" w:after="120"/>
              <w:ind w:left="720"/>
              <w:rPr>
                <w:sz w:val="20"/>
                <w:szCs w:val="20"/>
              </w:rPr>
            </w:pPr>
            <w:r>
              <w:rPr>
                <w:sz w:val="20"/>
                <w:szCs w:val="20"/>
              </w:rPr>
              <w:t>FFS: whether/how single PUCCH transmission can be configured and/or indicated</w:t>
            </w:r>
          </w:p>
          <w:p w14:paraId="0206F454" w14:textId="77777777" w:rsidR="00F91F6C" w:rsidRDefault="00000000">
            <w:pPr>
              <w:tabs>
                <w:tab w:val="left" w:pos="1064"/>
              </w:tabs>
              <w:spacing w:afterLines="50" w:after="120"/>
              <w:rPr>
                <w:rFonts w:eastAsia="Batang"/>
                <w:b/>
                <w:sz w:val="20"/>
                <w:highlight w:val="green"/>
              </w:rPr>
            </w:pPr>
            <w:r>
              <w:rPr>
                <w:rFonts w:eastAsia="Batang"/>
                <w:b/>
                <w:sz w:val="20"/>
                <w:highlight w:val="green"/>
              </w:rPr>
              <w:t>RAN1#112bis-e Agreement</w:t>
            </w:r>
          </w:p>
          <w:p w14:paraId="5FD7F7F5" w14:textId="77777777" w:rsidR="00F91F6C" w:rsidRDefault="00000000">
            <w:pPr>
              <w:snapToGrid w:val="0"/>
              <w:spacing w:afterLines="50" w:after="120"/>
              <w:rPr>
                <w:rFonts w:eastAsia="Gulim"/>
                <w:sz w:val="20"/>
              </w:rPr>
            </w:pPr>
            <w:r>
              <w:rPr>
                <w:rFonts w:eastAsia="Gulim"/>
                <w:sz w:val="20"/>
              </w:rPr>
              <w:t>For PUCCH repetition for Msg4 HARQ-ACK, candidate values of only one repetition factor configuration via SIB are {2, 4, 8}.</w:t>
            </w:r>
          </w:p>
          <w:p w14:paraId="7B5049BE" w14:textId="77777777" w:rsidR="00F91F6C" w:rsidRDefault="00000000">
            <w:pPr>
              <w:numPr>
                <w:ilvl w:val="0"/>
                <w:numId w:val="12"/>
              </w:numPr>
              <w:snapToGrid w:val="0"/>
              <w:spacing w:beforeLines="50" w:before="120" w:afterLines="50" w:after="120"/>
              <w:ind w:left="720"/>
              <w:rPr>
                <w:sz w:val="20"/>
                <w:szCs w:val="20"/>
              </w:rPr>
            </w:pPr>
            <w:r>
              <w:rPr>
                <w:rFonts w:eastAsia="Gulim"/>
                <w:sz w:val="20"/>
              </w:rPr>
              <w:t>i.e., configuration of only ‘1’ is not supported.</w:t>
            </w:r>
          </w:p>
        </w:tc>
      </w:tr>
    </w:tbl>
    <w:p w14:paraId="31C574E7" w14:textId="480F7365" w:rsidR="00F91F6C" w:rsidRDefault="00000000">
      <w:pPr>
        <w:widowControl/>
        <w:spacing w:before="120" w:after="12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From our perspective, the same issue has been discussed in Rel-17 Msg3 repetition enhancement, and this issue is also related to the indicator mechanism. Depending on whether the indication bit field is limited, repetition factor "1” and larger number more than 8 may be supported in different ways. Considering the procedure that more than one</w:t>
      </w:r>
      <w:r>
        <w:rPr>
          <w:rFonts w:ascii="Times New Roman" w:eastAsia="等线" w:hAnsi="Times New Roman" w:cs="Times New Roman"/>
          <w:sz w:val="20"/>
          <w:szCs w:val="20"/>
        </w:rPr>
        <w:t xml:space="preserve"> repetition factor configured via SIB</w:t>
      </w:r>
      <w:r>
        <w:rPr>
          <w:rFonts w:ascii="Times New Roman" w:hAnsi="Times New Roman" w:cs="Times New Roman"/>
          <w:sz w:val="20"/>
          <w:szCs w:val="20"/>
        </w:rPr>
        <w:t>, after UE requests repetition/indicates repetition capability,</w:t>
      </w:r>
      <w:r>
        <w:rPr>
          <w:rFonts w:ascii="Times New Roman" w:eastAsia="MS Mincho" w:hAnsi="Times New Roman" w:cs="Times New Roman"/>
          <w:kern w:val="0"/>
          <w:sz w:val="20"/>
          <w:szCs w:val="20"/>
          <w:lang w:eastAsia="en-US"/>
        </w:rPr>
        <w:t xml:space="preserve"> it may assume that the repurposed bit field would be </w:t>
      </w:r>
      <w:r w:rsidR="00605CE6">
        <w:rPr>
          <w:rFonts w:ascii="Times New Roman" w:eastAsia="MS Mincho" w:hAnsi="Times New Roman" w:cs="Times New Roman"/>
          <w:kern w:val="0"/>
          <w:sz w:val="20"/>
          <w:szCs w:val="20"/>
          <w:lang w:eastAsia="en-US"/>
        </w:rPr>
        <w:t>indicated</w:t>
      </w:r>
      <w:r>
        <w:rPr>
          <w:rFonts w:ascii="Times New Roman" w:eastAsia="MS Mincho" w:hAnsi="Times New Roman" w:cs="Times New Roman"/>
          <w:kern w:val="0"/>
          <w:sz w:val="20"/>
          <w:szCs w:val="20"/>
          <w:lang w:eastAsia="en-US"/>
        </w:rPr>
        <w:t>. In this case, the single PUCCH transmission should be indicated by the same way as repetition factor does. If larger number of repetition factor need to be supported, the payload of configuration and indication should be studied first, because this is the coverage-limited scenario.</w:t>
      </w:r>
    </w:p>
    <w:p w14:paraId="7F228D71" w14:textId="45A07E56" w:rsidR="00F91F6C" w:rsidRDefault="00000000">
      <w:pPr>
        <w:snapToGrid w:val="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Considering the UE behavior when repetition factor is not configured via SIB, we think it is straightforward</w:t>
      </w:r>
      <w:r w:rsidR="00605CE6">
        <w:rPr>
          <w:rFonts w:ascii="Times New Roman" w:eastAsia="MS Mincho" w:hAnsi="Times New Roman" w:cs="Times New Roman"/>
          <w:kern w:val="0"/>
          <w:sz w:val="20"/>
          <w:szCs w:val="20"/>
          <w:lang w:eastAsia="en-US"/>
        </w:rPr>
        <w:t xml:space="preserve"> for UE</w:t>
      </w:r>
      <w:r>
        <w:rPr>
          <w:rFonts w:ascii="Times New Roman" w:eastAsia="MS Mincho" w:hAnsi="Times New Roman" w:cs="Times New Roman"/>
          <w:kern w:val="0"/>
          <w:sz w:val="20"/>
          <w:szCs w:val="20"/>
          <w:lang w:eastAsia="en-US"/>
        </w:rPr>
        <w:t xml:space="preserve"> to perform single PUCCH repetition following the legacy UE behavior.</w:t>
      </w:r>
    </w:p>
    <w:p w14:paraId="6B992BD9" w14:textId="77777777" w:rsidR="00F91F6C" w:rsidRDefault="00000000">
      <w:pPr>
        <w:widowControl/>
        <w:spacing w:before="120" w:after="120"/>
        <w:rPr>
          <w:rFonts w:ascii="Times New Roman" w:eastAsia="MS Mincho" w:hAnsi="Times New Roman" w:cs="Times New Roman"/>
          <w:b/>
          <w:bCs/>
          <w:kern w:val="0"/>
          <w:sz w:val="20"/>
          <w:szCs w:val="20"/>
          <w:lang w:eastAsia="en-US"/>
        </w:rPr>
      </w:pPr>
      <w:r>
        <w:rPr>
          <w:rFonts w:ascii="Times New Roman" w:eastAsia="MS Mincho" w:hAnsi="Times New Roman" w:cs="Times New Roman"/>
          <w:b/>
          <w:bCs/>
          <w:kern w:val="0"/>
          <w:sz w:val="20"/>
          <w:szCs w:val="20"/>
          <w:lang w:eastAsia="en-US"/>
        </w:rPr>
        <w:t xml:space="preserve">Proposal </w:t>
      </w:r>
      <w:r>
        <w:rPr>
          <w:rFonts w:ascii="Times New Roman" w:eastAsia="宋体" w:hAnsi="Times New Roman" w:cs="Times New Roman" w:hint="eastAsia"/>
          <w:b/>
          <w:bCs/>
          <w:kern w:val="0"/>
          <w:sz w:val="20"/>
          <w:szCs w:val="20"/>
        </w:rPr>
        <w:t>2</w:t>
      </w:r>
      <w:r>
        <w:rPr>
          <w:rFonts w:ascii="Times New Roman" w:eastAsia="MS Mincho" w:hAnsi="Times New Roman" w:cs="Times New Roman"/>
          <w:b/>
          <w:bCs/>
          <w:kern w:val="0"/>
          <w:sz w:val="20"/>
          <w:szCs w:val="20"/>
          <w:lang w:eastAsia="en-US"/>
        </w:rPr>
        <w:t>. If no larger number of PUCCH transmission is needed, when multiple repetition factors are configured via SIB, single PUCCH transmission can be indicated by the same way as repetition factor does.</w:t>
      </w:r>
    </w:p>
    <w:p w14:paraId="6E341126" w14:textId="77777777" w:rsidR="00F91F6C" w:rsidRDefault="00000000">
      <w:pPr>
        <w:widowControl/>
        <w:spacing w:before="120" w:after="120"/>
        <w:rPr>
          <w:rFonts w:ascii="Times New Roman" w:eastAsia="MS Mincho" w:hAnsi="Times New Roman" w:cs="Times New Roman"/>
          <w:b/>
          <w:bCs/>
          <w:kern w:val="0"/>
          <w:sz w:val="20"/>
          <w:szCs w:val="20"/>
          <w:lang w:eastAsia="en-US"/>
        </w:rPr>
      </w:pPr>
      <w:r>
        <w:rPr>
          <w:rFonts w:ascii="Times New Roman" w:eastAsia="MS Mincho" w:hAnsi="Times New Roman" w:cs="Times New Roman"/>
          <w:b/>
          <w:bCs/>
          <w:kern w:val="0"/>
          <w:sz w:val="20"/>
          <w:szCs w:val="20"/>
          <w:lang w:eastAsia="en-US"/>
        </w:rPr>
        <w:t xml:space="preserve">Proposal </w:t>
      </w:r>
      <w:r>
        <w:rPr>
          <w:rFonts w:ascii="Times New Roman" w:eastAsia="宋体" w:hAnsi="Times New Roman" w:cs="Times New Roman" w:hint="eastAsia"/>
          <w:b/>
          <w:bCs/>
          <w:kern w:val="0"/>
          <w:sz w:val="20"/>
          <w:szCs w:val="20"/>
        </w:rPr>
        <w:t>3</w:t>
      </w:r>
      <w:r>
        <w:rPr>
          <w:rFonts w:ascii="Times New Roman" w:eastAsia="MS Mincho" w:hAnsi="Times New Roman" w:cs="Times New Roman"/>
          <w:b/>
          <w:bCs/>
          <w:kern w:val="0"/>
          <w:sz w:val="20"/>
          <w:szCs w:val="20"/>
          <w:lang w:eastAsia="en-US"/>
        </w:rPr>
        <w:t>. For PUCCH repetition for Msg4 HARQ-ACK, when repetition factor is not configured via SIB, UE perform single PUCCH transmission as legacy behavior.</w:t>
      </w:r>
    </w:p>
    <w:p w14:paraId="5E82DF9B" w14:textId="77777777" w:rsidR="00F91F6C" w:rsidRDefault="00000000">
      <w:pPr>
        <w:pStyle w:val="2"/>
        <w:numPr>
          <w:ilvl w:val="1"/>
          <w:numId w:val="0"/>
        </w:numPr>
        <w:spacing w:before="120" w:after="120"/>
        <w:rPr>
          <w:b/>
          <w:bCs/>
          <w:sz w:val="24"/>
        </w:rPr>
      </w:pPr>
      <w:r>
        <w:rPr>
          <w:b/>
          <w:bCs/>
          <w:sz w:val="24"/>
        </w:rPr>
        <w:t>2.2 DMRS bundling</w:t>
      </w:r>
    </w:p>
    <w:p w14:paraId="5DC92070" w14:textId="71D50165" w:rsidR="00F91F6C"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w:t>
      </w:r>
      <w:r>
        <w:rPr>
          <w:rFonts w:ascii="Times New Roman" w:hAnsi="Times New Roman" w:cs="Times New Roman" w:hint="eastAsia"/>
          <w:bCs/>
          <w:iCs/>
          <w:sz w:val="20"/>
          <w:szCs w:val="20"/>
        </w:rPr>
        <w:t>NTN is a FDD system which has consecutive slots, more opportunit</w:t>
      </w:r>
      <w:r>
        <w:rPr>
          <w:rFonts w:ascii="Times New Roman" w:hAnsi="Times New Roman" w:cs="Times New Roman"/>
          <w:bCs/>
          <w:iCs/>
          <w:sz w:val="20"/>
          <w:szCs w:val="20"/>
        </w:rPr>
        <w:t>ies</w:t>
      </w:r>
      <w:r>
        <w:rPr>
          <w:rFonts w:ascii="Times New Roman" w:hAnsi="Times New Roman" w:cs="Times New Roman" w:hint="eastAsia"/>
          <w:bCs/>
          <w:iCs/>
          <w:sz w:val="20"/>
          <w:szCs w:val="20"/>
        </w:rPr>
        <w:t xml:space="preserve"> can be expected for DMRS bundling. </w:t>
      </w:r>
      <w:r>
        <w:rPr>
          <w:rFonts w:ascii="Times New Roman" w:hAnsi="Times New Roman" w:cs="Times New Roman"/>
          <w:bCs/>
          <w:iCs/>
          <w:sz w:val="20"/>
          <w:szCs w:val="20"/>
        </w:rPr>
        <w:t>It is important to study and clarify the necessity as well as issues to apply DMRS bundling in NTN scenarios, especially for fast time-variant channel.</w:t>
      </w:r>
      <w:r>
        <w:rPr>
          <w:rFonts w:ascii="Times New Roman" w:hAnsi="Times New Roman" w:cs="Times New Roman" w:hint="eastAsia"/>
          <w:bCs/>
          <w:iCs/>
          <w:sz w:val="20"/>
          <w:szCs w:val="20"/>
        </w:rPr>
        <w:t xml:space="preserve"> The main challenge for DMRS bundling in NTN </w:t>
      </w:r>
      <w:r>
        <w:rPr>
          <w:rFonts w:ascii="Times New Roman" w:hAnsi="Times New Roman" w:cs="Times New Roman"/>
          <w:bCs/>
          <w:iCs/>
          <w:sz w:val="20"/>
          <w:szCs w:val="20"/>
        </w:rPr>
        <w:t xml:space="preserve">scenarios </w:t>
      </w:r>
      <w:r>
        <w:rPr>
          <w:rFonts w:ascii="Times New Roman" w:hAnsi="Times New Roman" w:cs="Times New Roman" w:hint="eastAsia"/>
          <w:bCs/>
          <w:iCs/>
          <w:sz w:val="20"/>
          <w:szCs w:val="20"/>
        </w:rPr>
        <w:t xml:space="preserve">is whether the channel correlation can be ensured between slots </w:t>
      </w:r>
      <w:r>
        <w:rPr>
          <w:rFonts w:ascii="Times New Roman" w:hAnsi="Times New Roman" w:cs="Times New Roman"/>
          <w:bCs/>
          <w:iCs/>
          <w:sz w:val="20"/>
          <w:szCs w:val="20"/>
        </w:rPr>
        <w:t>for fast time-variant channel with large time and frequency shift</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sidR="00F33075">
        <w:rPr>
          <w:rFonts w:ascii="Times New Roman" w:hAnsi="Times New Roman" w:cs="Times New Roman"/>
          <w:bCs/>
          <w:iCs/>
          <w:sz w:val="20"/>
          <w:szCs w:val="20"/>
        </w:rPr>
        <w:t>O</w:t>
      </w:r>
      <w:r>
        <w:rPr>
          <w:rFonts w:ascii="Times New Roman" w:hAnsi="Times New Roman" w:cs="Times New Roman"/>
          <w:bCs/>
          <w:iCs/>
          <w:sz w:val="20"/>
          <w:szCs w:val="20"/>
        </w:rPr>
        <w:t>bservation</w:t>
      </w:r>
      <w:r w:rsidR="00F33075">
        <w:rPr>
          <w:rFonts w:ascii="Times New Roman" w:hAnsi="Times New Roman" w:cs="Times New Roman"/>
          <w:bCs/>
          <w:iCs/>
          <w:sz w:val="20"/>
          <w:szCs w:val="20"/>
        </w:rPr>
        <w:t>s</w:t>
      </w:r>
      <w:r>
        <w:rPr>
          <w:rFonts w:ascii="Times New Roman" w:hAnsi="Times New Roman" w:cs="Times New Roman"/>
          <w:bCs/>
          <w:iCs/>
          <w:sz w:val="20"/>
          <w:szCs w:val="20"/>
        </w:rPr>
        <w:t xml:space="preserve"> and conclusions </w:t>
      </w:r>
      <w:r>
        <w:rPr>
          <w:rFonts w:ascii="Times New Roman" w:eastAsia="Batang" w:hAnsi="Times New Roman" w:cs="Times New Roman"/>
          <w:sz w:val="20"/>
          <w:szCs w:val="20"/>
          <w:lang w:eastAsia="en-US"/>
        </w:rPr>
        <w:t xml:space="preserve">of PUSCH DMRS bundling </w:t>
      </w:r>
      <w:r>
        <w:rPr>
          <w:rFonts w:ascii="Times New Roman" w:hAnsi="Times New Roman" w:cs="Times New Roman"/>
          <w:bCs/>
          <w:iCs/>
          <w:sz w:val="20"/>
          <w:szCs w:val="20"/>
        </w:rPr>
        <w:t>during previous RAN1 meetings are shown as below.</w:t>
      </w:r>
    </w:p>
    <w:tbl>
      <w:tblPr>
        <w:tblStyle w:val="aff1"/>
        <w:tblW w:w="0" w:type="auto"/>
        <w:tblInd w:w="119" w:type="dxa"/>
        <w:tblLook w:val="04A0" w:firstRow="1" w:lastRow="0" w:firstColumn="1" w:lastColumn="0" w:noHBand="0" w:noVBand="1"/>
      </w:tblPr>
      <w:tblGrid>
        <w:gridCol w:w="9843"/>
      </w:tblGrid>
      <w:tr w:rsidR="00F91F6C" w14:paraId="3D6C2DCE" w14:textId="77777777">
        <w:trPr>
          <w:trHeight w:val="1047"/>
        </w:trPr>
        <w:tc>
          <w:tcPr>
            <w:tcW w:w="9919" w:type="dxa"/>
          </w:tcPr>
          <w:p w14:paraId="07EE4E72" w14:textId="77777777" w:rsidR="00F91F6C" w:rsidRDefault="00000000">
            <w:pPr>
              <w:spacing w:beforeLines="50" w:before="120" w:afterLines="50" w:after="120"/>
              <w:rPr>
                <w:b/>
                <w:sz w:val="20"/>
                <w:szCs w:val="20"/>
              </w:rPr>
            </w:pPr>
            <w:r>
              <w:rPr>
                <w:b/>
                <w:sz w:val="20"/>
                <w:szCs w:val="20"/>
              </w:rPr>
              <w:lastRenderedPageBreak/>
              <w:t>RAN1#112 Observation</w:t>
            </w:r>
          </w:p>
          <w:p w14:paraId="5C441227" w14:textId="77777777" w:rsidR="00F91F6C" w:rsidRDefault="00000000">
            <w:pPr>
              <w:rPr>
                <w:sz w:val="20"/>
                <w:szCs w:val="20"/>
              </w:rPr>
            </w:pPr>
            <w:r>
              <w:rPr>
                <w:sz w:val="20"/>
                <w:szCs w:val="20"/>
              </w:rPr>
              <w:t>For NTN-specific PUSCH DMRS bundling, in LEO 1200 with elevation angle 30 deg. and SCS = 15 kHz, RAN1’s understanding is the following:</w:t>
            </w:r>
          </w:p>
          <w:p w14:paraId="3A79387C" w14:textId="77777777" w:rsidR="00F91F6C" w:rsidRDefault="00000000">
            <w:pPr>
              <w:numPr>
                <w:ilvl w:val="0"/>
                <w:numId w:val="12"/>
              </w:numPr>
              <w:snapToGrid w:val="0"/>
              <w:spacing w:before="60" w:after="60"/>
              <w:ind w:left="720"/>
              <w:rPr>
                <w:sz w:val="20"/>
                <w:szCs w:val="20"/>
              </w:rPr>
            </w:pPr>
            <w:r>
              <w:rPr>
                <w:sz w:val="20"/>
                <w:szCs w:val="20"/>
              </w:rPr>
              <w:t>Timing error limit (Table 7.1C.2-1 in 38.133) can be satisfied within at most 13 slots if TA pre-compensation update is not assumed.</w:t>
            </w:r>
          </w:p>
          <w:p w14:paraId="5778D07A" w14:textId="77777777" w:rsidR="00F91F6C" w:rsidRDefault="00000000">
            <w:pPr>
              <w:numPr>
                <w:ilvl w:val="1"/>
                <w:numId w:val="12"/>
              </w:numPr>
              <w:snapToGrid w:val="0"/>
              <w:ind w:left="1185"/>
              <w:rPr>
                <w:sz w:val="20"/>
                <w:szCs w:val="20"/>
              </w:rPr>
            </w:pPr>
            <w:r>
              <w:rPr>
                <w:sz w:val="20"/>
                <w:szCs w:val="20"/>
              </w:rPr>
              <w:t>FFS: whether/how to consider the initial timing error at the beginning</w:t>
            </w:r>
          </w:p>
          <w:p w14:paraId="50E2B395" w14:textId="77777777" w:rsidR="00F91F6C" w:rsidRDefault="00000000">
            <w:pPr>
              <w:numPr>
                <w:ilvl w:val="1"/>
                <w:numId w:val="12"/>
              </w:numPr>
              <w:snapToGrid w:val="0"/>
              <w:ind w:left="1185"/>
              <w:rPr>
                <w:sz w:val="20"/>
                <w:szCs w:val="20"/>
              </w:rPr>
            </w:pPr>
            <w:r>
              <w:rPr>
                <w:sz w:val="20"/>
                <w:szCs w:val="20"/>
              </w:rPr>
              <w:t>FFS: TA pre-compensation update is assumed</w:t>
            </w:r>
          </w:p>
          <w:p w14:paraId="24103E1C" w14:textId="77777777" w:rsidR="00F91F6C" w:rsidRDefault="00000000">
            <w:pPr>
              <w:numPr>
                <w:ilvl w:val="0"/>
                <w:numId w:val="12"/>
              </w:numPr>
              <w:snapToGrid w:val="0"/>
              <w:spacing w:before="60" w:after="60"/>
              <w:ind w:left="720"/>
              <w:rPr>
                <w:sz w:val="20"/>
                <w:szCs w:val="20"/>
              </w:rPr>
            </w:pPr>
            <w:r>
              <w:rPr>
                <w:sz w:val="20"/>
                <w:szCs w:val="20"/>
              </w:rPr>
              <w:t>Frequency error limit (Section 6.4.1 in 38.101-5) can be satisfied over 32 slots if frequency pre-compensation update is not assumed.</w:t>
            </w:r>
          </w:p>
          <w:p w14:paraId="1E2B8FFD" w14:textId="77777777" w:rsidR="00F91F6C" w:rsidRDefault="00000000">
            <w:pPr>
              <w:numPr>
                <w:ilvl w:val="0"/>
                <w:numId w:val="12"/>
              </w:numPr>
              <w:snapToGrid w:val="0"/>
              <w:spacing w:before="60" w:after="60"/>
              <w:ind w:left="720"/>
              <w:rPr>
                <w:sz w:val="20"/>
                <w:szCs w:val="20"/>
              </w:rPr>
            </w:pPr>
            <w:r>
              <w:rPr>
                <w:sz w:val="20"/>
                <w:szCs w:val="20"/>
              </w:rPr>
              <w:t>FFS: impact of phase difference limit</w:t>
            </w:r>
          </w:p>
          <w:p w14:paraId="083FB242" w14:textId="77777777" w:rsidR="00F91F6C" w:rsidRDefault="00000000">
            <w:pPr>
              <w:tabs>
                <w:tab w:val="left" w:pos="1064"/>
              </w:tabs>
              <w:spacing w:afterLines="50" w:after="120"/>
              <w:rPr>
                <w:rFonts w:eastAsia="Batang"/>
                <w:b/>
                <w:sz w:val="20"/>
              </w:rPr>
            </w:pPr>
            <w:r>
              <w:rPr>
                <w:rFonts w:eastAsia="Batang"/>
                <w:b/>
                <w:sz w:val="20"/>
              </w:rPr>
              <w:t>RAN1#112bis-e Observation</w:t>
            </w:r>
          </w:p>
          <w:p w14:paraId="0EA63D2F" w14:textId="77777777" w:rsidR="00F91F6C" w:rsidRDefault="00000000">
            <w:pPr>
              <w:snapToGrid w:val="0"/>
              <w:spacing w:afterLines="50" w:after="120"/>
              <w:rPr>
                <w:rFonts w:eastAsia="Batang"/>
                <w:sz w:val="20"/>
                <w:szCs w:val="18"/>
              </w:rPr>
            </w:pPr>
            <w:r>
              <w:rPr>
                <w:rFonts w:eastAsia="Batang"/>
                <w:sz w:val="20"/>
                <w:szCs w:val="18"/>
              </w:rPr>
              <w:t xml:space="preserve">For NTN-specific PUSCH DMRS bundling, </w:t>
            </w:r>
          </w:p>
          <w:p w14:paraId="1A85F830" w14:textId="77777777" w:rsidR="00F91F6C" w:rsidRDefault="00000000">
            <w:pPr>
              <w:numPr>
                <w:ilvl w:val="0"/>
                <w:numId w:val="12"/>
              </w:numPr>
              <w:snapToGrid w:val="0"/>
              <w:spacing w:afterLines="50" w:after="120"/>
              <w:ind w:left="720"/>
              <w:rPr>
                <w:rFonts w:eastAsia="Batang"/>
                <w:sz w:val="20"/>
                <w:szCs w:val="18"/>
              </w:rPr>
            </w:pPr>
            <w:r>
              <w:rPr>
                <w:rFonts w:eastAsia="Batang"/>
                <w:sz w:val="20"/>
                <w:szCs w:val="18"/>
              </w:rPr>
              <w:t>In LEO 1200 with elevation angle 30 deg. and SCS = 15 kHz, RAN1’s understanding is the following:</w:t>
            </w:r>
          </w:p>
          <w:p w14:paraId="208F0130" w14:textId="77777777" w:rsidR="00F91F6C" w:rsidRDefault="00000000">
            <w:pPr>
              <w:numPr>
                <w:ilvl w:val="1"/>
                <w:numId w:val="12"/>
              </w:numPr>
              <w:snapToGrid w:val="0"/>
              <w:ind w:left="1185"/>
              <w:rPr>
                <w:sz w:val="20"/>
                <w:szCs w:val="20"/>
              </w:rPr>
            </w:pPr>
            <w:r>
              <w:rPr>
                <w:sz w:val="20"/>
                <w:szCs w:val="20"/>
              </w:rPr>
              <w:t>Phase difference limit (Table 6.4.2.5-1 in 38.101-1) cannot be satisfied over multiple slots (for carrier bandwidth 5 MHz or larger), if the PRB allocation is not within 6 PRBs from the DC carrier, pre-compensation by UE and post-compensation by gNB are not assumed, and 70.5 (us/s) timing drift rate is assumed.</w:t>
            </w:r>
          </w:p>
          <w:p w14:paraId="292D474F" w14:textId="77777777" w:rsidR="00F91F6C" w:rsidRDefault="00000000">
            <w:pPr>
              <w:numPr>
                <w:ilvl w:val="1"/>
                <w:numId w:val="12"/>
              </w:numPr>
              <w:snapToGrid w:val="0"/>
              <w:spacing w:afterLines="50" w:after="120"/>
              <w:ind w:left="1185"/>
              <w:rPr>
                <w:rFonts w:eastAsia="Batang"/>
                <w:sz w:val="20"/>
              </w:rPr>
            </w:pPr>
            <w:r>
              <w:rPr>
                <w:sz w:val="20"/>
                <w:szCs w:val="20"/>
              </w:rPr>
              <w:t>Note: thi</w:t>
            </w:r>
            <w:r>
              <w:rPr>
                <w:rFonts w:eastAsia="Batang"/>
                <w:sz w:val="20"/>
                <w:szCs w:val="18"/>
              </w:rPr>
              <w:t>s does not imply that UE shall be scheduled within 6 PRBs from the DC carrier.</w:t>
            </w:r>
          </w:p>
          <w:p w14:paraId="4915765E" w14:textId="77777777" w:rsidR="00F91F6C" w:rsidRDefault="00000000">
            <w:pPr>
              <w:tabs>
                <w:tab w:val="left" w:pos="1064"/>
              </w:tabs>
              <w:spacing w:afterLines="50" w:after="120"/>
              <w:rPr>
                <w:rFonts w:eastAsia="Batang"/>
                <w:b/>
                <w:sz w:val="20"/>
              </w:rPr>
            </w:pPr>
            <w:r>
              <w:rPr>
                <w:rFonts w:eastAsia="Batang"/>
                <w:b/>
                <w:sz w:val="20"/>
                <w:highlight w:val="darkYellow"/>
              </w:rPr>
              <w:t>RAN1#112bis-e Working assumption</w:t>
            </w:r>
          </w:p>
          <w:p w14:paraId="576AD7BA" w14:textId="77777777" w:rsidR="00F91F6C" w:rsidRDefault="00000000">
            <w:pPr>
              <w:tabs>
                <w:tab w:val="left" w:pos="1064"/>
              </w:tabs>
              <w:spacing w:afterLines="50" w:after="120"/>
              <w:rPr>
                <w:rFonts w:eastAsia="Batang"/>
                <w:sz w:val="20"/>
              </w:rPr>
            </w:pPr>
            <w:r>
              <w:rPr>
                <w:rFonts w:eastAsia="Batang"/>
                <w:sz w:val="20"/>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38E2E3C5" w14:textId="77777777" w:rsidR="00F91F6C" w:rsidRDefault="00000000">
            <w:pPr>
              <w:numPr>
                <w:ilvl w:val="0"/>
                <w:numId w:val="12"/>
              </w:numPr>
              <w:snapToGrid w:val="0"/>
              <w:spacing w:afterLines="50" w:after="120"/>
              <w:ind w:left="720"/>
              <w:rPr>
                <w:rFonts w:eastAsia="Batang"/>
                <w:sz w:val="20"/>
                <w:szCs w:val="18"/>
              </w:rPr>
            </w:pPr>
            <w:r>
              <w:rPr>
                <w:rFonts w:eastAsia="Batang"/>
                <w:sz w:val="20"/>
                <w:szCs w:val="18"/>
              </w:rPr>
              <w:t xml:space="preserve">UE shall not perform TA pre-compensation update </w:t>
            </w:r>
            <w:r>
              <w:rPr>
                <w:rFonts w:eastAsia="宋体"/>
                <w:sz w:val="20"/>
              </w:rPr>
              <w:t>within an actual TDW</w:t>
            </w:r>
            <w:r>
              <w:rPr>
                <w:rFonts w:eastAsia="Batang"/>
                <w:sz w:val="20"/>
                <w:szCs w:val="18"/>
              </w:rPr>
              <w:t xml:space="preserve"> if it causes phase discontinuity that may violate the p</w:t>
            </w:r>
            <w:r>
              <w:rPr>
                <w:rFonts w:eastAsia="宋体"/>
                <w:sz w:val="20"/>
              </w:rPr>
              <w:t>hase difference limit.</w:t>
            </w:r>
          </w:p>
          <w:p w14:paraId="7348D74D" w14:textId="77777777" w:rsidR="00F91F6C" w:rsidRDefault="00000000">
            <w:pPr>
              <w:numPr>
                <w:ilvl w:val="1"/>
                <w:numId w:val="12"/>
              </w:numPr>
              <w:snapToGrid w:val="0"/>
              <w:ind w:left="1185"/>
              <w:rPr>
                <w:rFonts w:eastAsia="Batang"/>
                <w:sz w:val="20"/>
                <w:szCs w:val="18"/>
              </w:rPr>
            </w:pPr>
            <w:r>
              <w:rPr>
                <w:rFonts w:eastAsia="Batang"/>
                <w:sz w:val="20"/>
                <w:szCs w:val="18"/>
              </w:rPr>
              <w:t>FFS: how to determine the actual TDW</w:t>
            </w:r>
          </w:p>
          <w:p w14:paraId="4C78A3E7" w14:textId="77777777" w:rsidR="00F91F6C" w:rsidRDefault="00000000">
            <w:pPr>
              <w:numPr>
                <w:ilvl w:val="0"/>
                <w:numId w:val="12"/>
              </w:numPr>
              <w:snapToGrid w:val="0"/>
              <w:spacing w:afterLines="50" w:after="120"/>
              <w:ind w:left="720"/>
              <w:rPr>
                <w:rFonts w:eastAsia="Batang"/>
                <w:sz w:val="20"/>
                <w:szCs w:val="18"/>
              </w:rPr>
            </w:pPr>
            <w:r>
              <w:rPr>
                <w:rFonts w:eastAsia="Batang"/>
                <w:sz w:val="20"/>
                <w:szCs w:val="18"/>
              </w:rPr>
              <w:t>FFS: specification impact</w:t>
            </w:r>
          </w:p>
          <w:p w14:paraId="4B34A35E" w14:textId="77777777" w:rsidR="00F91F6C" w:rsidRDefault="00000000">
            <w:pPr>
              <w:numPr>
                <w:ilvl w:val="0"/>
                <w:numId w:val="12"/>
              </w:numPr>
              <w:snapToGrid w:val="0"/>
              <w:spacing w:afterLines="50" w:after="120"/>
              <w:ind w:left="720"/>
              <w:rPr>
                <w:sz w:val="20"/>
                <w:szCs w:val="20"/>
              </w:rPr>
            </w:pPr>
            <w:r>
              <w:rPr>
                <w:rFonts w:eastAsia="Batang"/>
                <w:sz w:val="20"/>
                <w:szCs w:val="18"/>
              </w:rPr>
              <w:t>Send an LS to RAN4</w:t>
            </w:r>
          </w:p>
        </w:tc>
      </w:tr>
    </w:tbl>
    <w:p w14:paraId="7A261DCF" w14:textId="77777777" w:rsidR="00F91F6C"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According to the above observations and conclusions, the timing error limit (Table 7.1C.2-1 in 38.133) can be satisfied within at most 13 slots</w:t>
      </w:r>
      <w:r>
        <w:rPr>
          <w:rFonts w:ascii="Times New Roman" w:hAnsi="Times New Roman" w:cs="Times New Roman" w:hint="eastAsia"/>
          <w:bCs/>
          <w:iCs/>
          <w:sz w:val="20"/>
          <w:szCs w:val="20"/>
        </w:rPr>
        <w:t>, while</w:t>
      </w:r>
      <w:r>
        <w:rPr>
          <w:rFonts w:ascii="Times New Roman" w:hAnsi="Times New Roman" w:cs="Times New Roman"/>
          <w:bCs/>
          <w:iCs/>
          <w:sz w:val="20"/>
          <w:szCs w:val="20"/>
        </w:rPr>
        <w:t xml:space="preserve"> phase difference limit (Table 6.4.2.5-1 in 38.101-1) cannot be satisfied over multiple slots (for carrier bandwidth 5 MHz or larger) if pre-compensation by UE and post-compensation by gNB are not assumed. </w:t>
      </w:r>
    </w:p>
    <w:p w14:paraId="23529692" w14:textId="13A37FAC" w:rsidR="00F91F6C"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Considering the information of timing drift can be indicated to UE before TA update, UE pre-compensation to keep phase rotation due to timing drift within the phase difference limit can be performed </w:t>
      </w:r>
      <w:r>
        <w:rPr>
          <w:rFonts w:ascii="Times New Roman" w:eastAsia="宋体" w:hAnsi="Times New Roman" w:cs="Times New Roman" w:hint="eastAsia"/>
          <w:sz w:val="20"/>
          <w:szCs w:val="18"/>
        </w:rPr>
        <w:t>f</w:t>
      </w:r>
      <w:r>
        <w:rPr>
          <w:rFonts w:ascii="Times New Roman" w:eastAsia="Batang" w:hAnsi="Times New Roman" w:cs="Times New Roman"/>
          <w:sz w:val="20"/>
          <w:szCs w:val="18"/>
          <w:lang w:eastAsia="en-US"/>
        </w:rPr>
        <w:t>or NTN-specific PUSCH DMRS bundling</w:t>
      </w:r>
      <w:r>
        <w:rPr>
          <w:rFonts w:ascii="Times New Roman" w:eastAsia="宋体" w:hAnsi="Times New Roman" w:cs="Times New Roman" w:hint="eastAsia"/>
          <w:sz w:val="20"/>
          <w:szCs w:val="18"/>
        </w:rPr>
        <w:t xml:space="preserve">. </w:t>
      </w:r>
      <w:r>
        <w:rPr>
          <w:rFonts w:ascii="Times New Roman" w:eastAsia="宋体" w:hAnsi="Times New Roman" w:cs="Times New Roman" w:hint="eastAsia"/>
          <w:bCs/>
          <w:iCs/>
          <w:sz w:val="20"/>
          <w:szCs w:val="20"/>
        </w:rPr>
        <w:t>While</w:t>
      </w:r>
      <w:r>
        <w:rPr>
          <w:rFonts w:ascii="Times New Roman" w:hAnsi="Times New Roman" w:cs="Times New Roman"/>
          <w:bCs/>
          <w:iCs/>
          <w:sz w:val="20"/>
          <w:szCs w:val="20"/>
        </w:rPr>
        <w:t xml:space="preserve"> the phase discontinuity due to applying TA pre-compensation may be very significant for large UL bandwidth, one main issue is how to handle the impact on DMRS bundling in NTN LEO scenarios considering the time and frequency pre-compensation.</w:t>
      </w:r>
      <w:r>
        <w:rPr>
          <w:rFonts w:ascii="Times New Roman" w:hAnsi="Times New Roman" w:cs="Times New Roman" w:hint="eastAsia"/>
          <w:bCs/>
          <w:iCs/>
          <w:sz w:val="20"/>
          <w:szCs w:val="20"/>
        </w:rPr>
        <w:t xml:space="preserve"> Besides, i</w:t>
      </w:r>
      <w:r>
        <w:rPr>
          <w:rFonts w:ascii="Times New Roman" w:hAnsi="Times New Roman" w:cs="Times New Roman"/>
          <w:bCs/>
          <w:iCs/>
          <w:sz w:val="20"/>
          <w:szCs w:val="20"/>
        </w:rPr>
        <w:t>t is assumed that UE will not perform TA pre-compensation within an actual TDW if it causes phase discontinuity.</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Therefore, the determination of </w:t>
      </w:r>
      <w:r>
        <w:rPr>
          <w:rFonts w:ascii="Times New Roman" w:hAnsi="Times New Roman" w:cs="Times New Roman" w:hint="eastAsia"/>
          <w:bCs/>
          <w:iCs/>
          <w:sz w:val="20"/>
          <w:szCs w:val="20"/>
        </w:rPr>
        <w:t>nominal/</w:t>
      </w:r>
      <w:r>
        <w:rPr>
          <w:rFonts w:ascii="Times New Roman" w:hAnsi="Times New Roman" w:cs="Times New Roman"/>
          <w:bCs/>
          <w:iCs/>
          <w:sz w:val="20"/>
          <w:szCs w:val="20"/>
        </w:rPr>
        <w:t xml:space="preserve">actual TDW size </w:t>
      </w:r>
      <w:r>
        <w:rPr>
          <w:rFonts w:ascii="Times New Roman" w:hAnsi="Times New Roman" w:cs="Times New Roman" w:hint="eastAsia"/>
          <w:bCs/>
          <w:iCs/>
          <w:sz w:val="20"/>
          <w:szCs w:val="20"/>
        </w:rPr>
        <w:t xml:space="preserve">may </w:t>
      </w:r>
      <w:r>
        <w:rPr>
          <w:rFonts w:ascii="Times New Roman" w:hAnsi="Times New Roman" w:cs="Times New Roman"/>
          <w:bCs/>
          <w:iCs/>
          <w:sz w:val="20"/>
          <w:szCs w:val="20"/>
        </w:rPr>
        <w:t>need to be reconsidered by taking NTN-specific requirements into consideration.</w:t>
      </w:r>
    </w:p>
    <w:p w14:paraId="326728FF" w14:textId="1023B278" w:rsidR="00F91F6C" w:rsidRDefault="00000000">
      <w:pPr>
        <w:spacing w:beforeLines="50" w:before="120" w:afterLines="50" w:after="120"/>
        <w:rPr>
          <w:rFonts w:ascii="Times New Roman" w:hAnsi="Times New Roman" w:cs="Times New Roman"/>
          <w:sz w:val="20"/>
          <w:szCs w:val="20"/>
        </w:rPr>
      </w:pPr>
      <w:r>
        <w:rPr>
          <w:rFonts w:ascii="Times New Roman" w:hAnsi="Times New Roman" w:cs="Times New Roman"/>
          <w:bCs/>
          <w:iCs/>
          <w:sz w:val="20"/>
          <w:szCs w:val="20"/>
        </w:rPr>
        <w:t xml:space="preserve">The issue on how to determine the nominal/actual TDW for </w:t>
      </w:r>
      <w:r>
        <w:rPr>
          <w:rFonts w:ascii="Times New Roman" w:hAnsi="Times New Roman" w:cs="Times New Roman"/>
          <w:sz w:val="20"/>
          <w:szCs w:val="20"/>
        </w:rPr>
        <w:t>NTN-specific PUSCH DMRS bundling has been discussed during previous meetings,</w:t>
      </w:r>
      <w:r>
        <w:rPr>
          <w:rFonts w:ascii="Times New Roman" w:hAnsi="Times New Roman" w:cs="Times New Roman" w:hint="eastAsia"/>
          <w:sz w:val="20"/>
          <w:szCs w:val="20"/>
        </w:rPr>
        <w:t xml:space="preserve"> </w:t>
      </w:r>
      <w:r w:rsidR="00F33075">
        <w:rPr>
          <w:rFonts w:ascii="Times New Roman" w:hAnsi="Times New Roman" w:cs="Times New Roman"/>
          <w:sz w:val="20"/>
          <w:szCs w:val="20"/>
        </w:rPr>
        <w:t xml:space="preserve">and </w:t>
      </w:r>
      <w:r w:rsidR="00692694">
        <w:rPr>
          <w:rFonts w:ascii="Times New Roman" w:hAnsi="Times New Roman" w:cs="Times New Roman"/>
          <w:sz w:val="20"/>
          <w:szCs w:val="20"/>
        </w:rPr>
        <w:t>it has been agreed that nominal TDW can be determined based on network configuration</w:t>
      </w:r>
      <w:r w:rsidR="00F33075">
        <w:rPr>
          <w:rFonts w:ascii="Times New Roman" w:hAnsi="Times New Roman" w:cs="Times New Roman"/>
          <w:sz w:val="20"/>
          <w:szCs w:val="20"/>
        </w:rPr>
        <w:t>. T</w:t>
      </w:r>
      <w:r>
        <w:rPr>
          <w:rFonts w:ascii="Times New Roman" w:hAnsi="Times New Roman" w:cs="Times New Roman" w:hint="eastAsia"/>
          <w:sz w:val="20"/>
          <w:szCs w:val="20"/>
        </w:rPr>
        <w:t xml:space="preserve">he following alternatives of nominal/actual TDW size determination, as well as corresponding UE capability or assistance information </w:t>
      </w:r>
      <w:r>
        <w:rPr>
          <w:rFonts w:ascii="Times New Roman" w:hAnsi="Times New Roman" w:cs="Times New Roman"/>
          <w:sz w:val="20"/>
          <w:szCs w:val="20"/>
        </w:rPr>
        <w:t xml:space="preserve">needs to be further discussed.  </w:t>
      </w:r>
    </w:p>
    <w:tbl>
      <w:tblPr>
        <w:tblStyle w:val="aff1"/>
        <w:tblW w:w="0" w:type="auto"/>
        <w:tblInd w:w="119" w:type="dxa"/>
        <w:tblLook w:val="04A0" w:firstRow="1" w:lastRow="0" w:firstColumn="1" w:lastColumn="0" w:noHBand="0" w:noVBand="1"/>
      </w:tblPr>
      <w:tblGrid>
        <w:gridCol w:w="9843"/>
      </w:tblGrid>
      <w:tr w:rsidR="00F91F6C" w14:paraId="23B87A0B" w14:textId="77777777">
        <w:trPr>
          <w:trHeight w:val="766"/>
        </w:trPr>
        <w:tc>
          <w:tcPr>
            <w:tcW w:w="9919" w:type="dxa"/>
          </w:tcPr>
          <w:p w14:paraId="3A9C7CD4" w14:textId="77777777" w:rsidR="00F91F6C" w:rsidRDefault="00000000">
            <w:pPr>
              <w:tabs>
                <w:tab w:val="left" w:pos="1064"/>
              </w:tabs>
              <w:spacing w:afterLines="50" w:after="120"/>
              <w:rPr>
                <w:rFonts w:ascii="Times" w:eastAsia="Batang" w:hAnsi="Times"/>
                <w:b/>
                <w:sz w:val="20"/>
                <w:highlight w:val="green"/>
              </w:rPr>
            </w:pPr>
            <w:r>
              <w:rPr>
                <w:rFonts w:ascii="Times" w:eastAsia="Batang" w:hAnsi="Times"/>
                <w:b/>
                <w:sz w:val="20"/>
                <w:highlight w:val="green"/>
              </w:rPr>
              <w:t xml:space="preserve">RAN1#112bis-e </w:t>
            </w:r>
            <w:r>
              <w:rPr>
                <w:rFonts w:ascii="Times" w:eastAsia="Batang" w:hAnsi="Times" w:hint="eastAsia"/>
                <w:b/>
                <w:sz w:val="20"/>
                <w:highlight w:val="green"/>
              </w:rPr>
              <w:t>Agreement</w:t>
            </w:r>
          </w:p>
          <w:p w14:paraId="206DA1B7" w14:textId="77777777" w:rsidR="00F91F6C" w:rsidRDefault="00000000">
            <w:pPr>
              <w:tabs>
                <w:tab w:val="left" w:pos="1064"/>
              </w:tabs>
              <w:spacing w:afterLines="50" w:after="120"/>
              <w:rPr>
                <w:rFonts w:ascii="Times" w:eastAsia="Batang" w:hAnsi="Times"/>
                <w:sz w:val="20"/>
                <w:szCs w:val="18"/>
              </w:rPr>
            </w:pPr>
            <w:r>
              <w:rPr>
                <w:rFonts w:ascii="Times" w:eastAsia="Batang" w:hAnsi="Times"/>
                <w:sz w:val="20"/>
                <w:szCs w:val="18"/>
              </w:rPr>
              <w:t>For NTN-specific PUSCH DMRS bundling, support Alt 2 for TDW determination.</w:t>
            </w:r>
          </w:p>
          <w:p w14:paraId="28E1B503" w14:textId="77777777" w:rsidR="00F91F6C" w:rsidRDefault="00000000">
            <w:pPr>
              <w:numPr>
                <w:ilvl w:val="0"/>
                <w:numId w:val="12"/>
              </w:numPr>
              <w:snapToGrid w:val="0"/>
              <w:spacing w:afterLines="50" w:after="120"/>
              <w:ind w:left="720"/>
              <w:rPr>
                <w:rFonts w:ascii="Times" w:eastAsia="Batang" w:hAnsi="Times"/>
                <w:sz w:val="20"/>
                <w:szCs w:val="18"/>
              </w:rPr>
            </w:pPr>
            <w:r>
              <w:rPr>
                <w:rFonts w:ascii="Times" w:eastAsia="Batang" w:hAnsi="Times"/>
                <w:sz w:val="20"/>
                <w:szCs w:val="18"/>
              </w:rPr>
              <w:t>Alt 2: gNB-centric TDW determination</w:t>
            </w:r>
          </w:p>
          <w:p w14:paraId="75E9EB29" w14:textId="77777777" w:rsidR="00F91F6C" w:rsidRDefault="00000000">
            <w:pPr>
              <w:numPr>
                <w:ilvl w:val="1"/>
                <w:numId w:val="12"/>
              </w:numPr>
              <w:snapToGrid w:val="0"/>
              <w:ind w:left="1185"/>
              <w:rPr>
                <w:rFonts w:eastAsia="Batang"/>
                <w:sz w:val="20"/>
                <w:szCs w:val="18"/>
              </w:rPr>
            </w:pPr>
            <w:r>
              <w:rPr>
                <w:rFonts w:eastAsia="Batang"/>
                <w:sz w:val="20"/>
                <w:szCs w:val="18"/>
              </w:rPr>
              <w:t>Nominal TDW is determined based on gNB configuration.</w:t>
            </w:r>
          </w:p>
          <w:p w14:paraId="29EF7124" w14:textId="77777777" w:rsidR="00F91F6C" w:rsidRDefault="00000000">
            <w:pPr>
              <w:numPr>
                <w:ilvl w:val="1"/>
                <w:numId w:val="12"/>
              </w:numPr>
              <w:snapToGrid w:val="0"/>
              <w:ind w:left="1185"/>
              <w:rPr>
                <w:rFonts w:eastAsia="Batang"/>
                <w:sz w:val="20"/>
                <w:szCs w:val="18"/>
              </w:rPr>
            </w:pPr>
            <w:r>
              <w:rPr>
                <w:rFonts w:eastAsia="Batang"/>
                <w:sz w:val="20"/>
                <w:szCs w:val="18"/>
              </w:rPr>
              <w:t>Actual TDW is determined based on gNB configuration/indication.</w:t>
            </w:r>
          </w:p>
          <w:p w14:paraId="61D4459F" w14:textId="77777777" w:rsidR="00F91F6C" w:rsidRDefault="00000000">
            <w:pPr>
              <w:numPr>
                <w:ilvl w:val="1"/>
                <w:numId w:val="12"/>
              </w:numPr>
              <w:snapToGrid w:val="0"/>
              <w:ind w:left="1185"/>
              <w:rPr>
                <w:rFonts w:eastAsia="Batang"/>
                <w:sz w:val="20"/>
                <w:szCs w:val="18"/>
              </w:rPr>
            </w:pPr>
            <w:r>
              <w:rPr>
                <w:rFonts w:eastAsia="Batang"/>
                <w:sz w:val="20"/>
                <w:szCs w:val="18"/>
              </w:rPr>
              <w:lastRenderedPageBreak/>
              <w:t>Note: Alt 2 does not imply that spec impact of actual TDW determination is assumed for NTN.</w:t>
            </w:r>
          </w:p>
          <w:p w14:paraId="277FD2E8" w14:textId="77777777" w:rsidR="00F91F6C" w:rsidRDefault="00000000">
            <w:pPr>
              <w:numPr>
                <w:ilvl w:val="1"/>
                <w:numId w:val="12"/>
              </w:numPr>
              <w:snapToGrid w:val="0"/>
              <w:ind w:left="1185"/>
              <w:rPr>
                <w:sz w:val="20"/>
                <w:szCs w:val="20"/>
              </w:rPr>
            </w:pPr>
            <w:r>
              <w:rPr>
                <w:rFonts w:eastAsia="Batang"/>
                <w:sz w:val="20"/>
                <w:szCs w:val="18"/>
              </w:rPr>
              <w:t>FFS</w:t>
            </w:r>
            <w:r>
              <w:rPr>
                <w:rFonts w:ascii="Times" w:eastAsia="Batang" w:hAnsi="Times"/>
                <w:sz w:val="20"/>
                <w:szCs w:val="18"/>
              </w:rPr>
              <w:t>: details, including UE capability and assistance information reporting</w:t>
            </w:r>
          </w:p>
          <w:p w14:paraId="6DCAE891" w14:textId="77777777" w:rsidR="00F91F6C" w:rsidRDefault="00000000">
            <w:pPr>
              <w:spacing w:beforeLines="50" w:before="120"/>
              <w:rPr>
                <w:b/>
                <w:sz w:val="20"/>
                <w:szCs w:val="20"/>
              </w:rPr>
            </w:pPr>
            <w:r>
              <w:rPr>
                <w:rFonts w:hint="eastAsia"/>
                <w:b/>
                <w:sz w:val="20"/>
                <w:szCs w:val="20"/>
                <w:highlight w:val="darkYellow"/>
              </w:rPr>
              <w:t xml:space="preserve">RAN1#113 </w:t>
            </w:r>
            <w:r>
              <w:rPr>
                <w:b/>
                <w:sz w:val="20"/>
                <w:szCs w:val="20"/>
                <w:highlight w:val="darkYellow"/>
              </w:rPr>
              <w:t>Working assumption</w:t>
            </w:r>
          </w:p>
          <w:p w14:paraId="1C48FE29" w14:textId="77777777" w:rsidR="00F91F6C" w:rsidRDefault="00000000">
            <w:pPr>
              <w:snapToGrid w:val="0"/>
              <w:rPr>
                <w:sz w:val="20"/>
                <w:szCs w:val="20"/>
              </w:rPr>
            </w:pPr>
            <w:r>
              <w:rPr>
                <w:sz w:val="20"/>
                <w:szCs w:val="20"/>
              </w:rPr>
              <w:t xml:space="preserve">For NTN-specific PUSCH DMRS bundling, reuse clause 6.1.7 in TS38.214 for </w:t>
            </w:r>
            <w:r>
              <w:rPr>
                <w:rFonts w:eastAsia="等线"/>
                <w:sz w:val="20"/>
                <w:szCs w:val="20"/>
              </w:rPr>
              <w:t>nominal TDW determination, except for aspects related to UE capabilities and assistance information (if needed)</w:t>
            </w:r>
            <w:r>
              <w:rPr>
                <w:sz w:val="20"/>
                <w:szCs w:val="20"/>
              </w:rPr>
              <w:t>.</w:t>
            </w:r>
          </w:p>
          <w:p w14:paraId="374B2B8F" w14:textId="77777777" w:rsidR="00F91F6C" w:rsidRDefault="00000000">
            <w:pPr>
              <w:numPr>
                <w:ilvl w:val="0"/>
                <w:numId w:val="12"/>
              </w:numPr>
              <w:snapToGrid w:val="0"/>
              <w:ind w:left="720"/>
              <w:rPr>
                <w:sz w:val="20"/>
                <w:szCs w:val="20"/>
              </w:rPr>
            </w:pPr>
            <w:r>
              <w:rPr>
                <w:rFonts w:eastAsia="等线"/>
                <w:sz w:val="20"/>
                <w:szCs w:val="20"/>
              </w:rPr>
              <w:t>i.e., if PUSCH-TimeDomainWindowLength is configured, nominal TDW is determined by PUSCH-TimeDomainWindowLength; otherwise, nominal TDW is determined based on UE capability(ies) signaling.</w:t>
            </w:r>
          </w:p>
          <w:p w14:paraId="59D2DD6C" w14:textId="77777777" w:rsidR="00F91F6C" w:rsidRDefault="00000000">
            <w:pPr>
              <w:numPr>
                <w:ilvl w:val="0"/>
                <w:numId w:val="12"/>
              </w:numPr>
              <w:snapToGrid w:val="0"/>
              <w:ind w:left="720"/>
              <w:rPr>
                <w:sz w:val="20"/>
                <w:szCs w:val="20"/>
              </w:rPr>
            </w:pPr>
            <w:r>
              <w:rPr>
                <w:rFonts w:eastAsia="等线"/>
                <w:sz w:val="20"/>
                <w:szCs w:val="20"/>
              </w:rPr>
              <w:t>FFS: which UE capability(ies) signaling is(are) used</w:t>
            </w:r>
          </w:p>
          <w:p w14:paraId="09855539" w14:textId="77777777" w:rsidR="00F91F6C" w:rsidRDefault="00000000">
            <w:pPr>
              <w:numPr>
                <w:ilvl w:val="0"/>
                <w:numId w:val="12"/>
              </w:numPr>
              <w:snapToGrid w:val="0"/>
              <w:ind w:left="720"/>
              <w:rPr>
                <w:sz w:val="20"/>
                <w:szCs w:val="20"/>
              </w:rPr>
            </w:pPr>
            <w:r>
              <w:rPr>
                <w:rFonts w:eastAsia="等线"/>
                <w:sz w:val="20"/>
                <w:szCs w:val="20"/>
              </w:rPr>
              <w:t>FFS: whether/how to use UE assistance information, if supported</w:t>
            </w:r>
          </w:p>
          <w:p w14:paraId="5B232F24" w14:textId="77777777" w:rsidR="00F91F6C" w:rsidRDefault="00F91F6C">
            <w:pPr>
              <w:rPr>
                <w:bCs/>
                <w:sz w:val="20"/>
                <w:szCs w:val="20"/>
              </w:rPr>
            </w:pPr>
          </w:p>
          <w:p w14:paraId="6FD46432" w14:textId="77777777" w:rsidR="00F91F6C" w:rsidRDefault="00000000">
            <w:pPr>
              <w:rPr>
                <w:b/>
                <w:sz w:val="20"/>
                <w:szCs w:val="20"/>
              </w:rPr>
            </w:pPr>
            <w:r>
              <w:rPr>
                <w:rFonts w:hint="eastAsia"/>
                <w:b/>
                <w:sz w:val="20"/>
                <w:szCs w:val="20"/>
                <w:highlight w:val="green"/>
              </w:rPr>
              <w:t xml:space="preserve">RAN1#113 </w:t>
            </w:r>
            <w:r>
              <w:rPr>
                <w:b/>
                <w:sz w:val="20"/>
                <w:szCs w:val="20"/>
                <w:highlight w:val="green"/>
              </w:rPr>
              <w:t>Agreement</w:t>
            </w:r>
          </w:p>
          <w:p w14:paraId="4214D67D" w14:textId="77777777" w:rsidR="00F91F6C" w:rsidRDefault="00000000">
            <w:pPr>
              <w:snapToGrid w:val="0"/>
              <w:rPr>
                <w:rFonts w:eastAsia="等线"/>
                <w:sz w:val="20"/>
                <w:szCs w:val="20"/>
              </w:rPr>
            </w:pPr>
            <w:r>
              <w:rPr>
                <w:sz w:val="20"/>
                <w:szCs w:val="20"/>
              </w:rPr>
              <w:t>For NTN-specific PUSCH DMRS bundling, one or more of the following is down-selected for actual TDW determination.</w:t>
            </w:r>
          </w:p>
          <w:p w14:paraId="34754ADC" w14:textId="77777777" w:rsidR="00F91F6C" w:rsidRDefault="00000000">
            <w:pPr>
              <w:numPr>
                <w:ilvl w:val="0"/>
                <w:numId w:val="12"/>
              </w:numPr>
              <w:snapToGrid w:val="0"/>
              <w:spacing w:afterLines="50" w:after="120"/>
              <w:ind w:left="720"/>
              <w:rPr>
                <w:sz w:val="20"/>
                <w:szCs w:val="20"/>
              </w:rPr>
            </w:pPr>
            <w:r>
              <w:rPr>
                <w:rFonts w:eastAsia="等线"/>
                <w:sz w:val="20"/>
                <w:szCs w:val="20"/>
              </w:rPr>
              <w:t>Actual TDW is determined by the existing events and,</w:t>
            </w:r>
          </w:p>
          <w:p w14:paraId="12C59E69" w14:textId="77777777" w:rsidR="00F91F6C" w:rsidRDefault="00000000">
            <w:pPr>
              <w:numPr>
                <w:ilvl w:val="1"/>
                <w:numId w:val="12"/>
              </w:numPr>
              <w:snapToGrid w:val="0"/>
              <w:ind w:left="1185"/>
              <w:rPr>
                <w:rFonts w:eastAsia="Batang"/>
                <w:sz w:val="20"/>
                <w:szCs w:val="18"/>
              </w:rPr>
            </w:pPr>
            <w:r>
              <w:rPr>
                <w:rFonts w:eastAsia="Batang"/>
                <w:sz w:val="20"/>
                <w:szCs w:val="18"/>
              </w:rPr>
              <w:t>Alt A: No additional event</w:t>
            </w:r>
          </w:p>
          <w:p w14:paraId="425AD65F" w14:textId="77777777" w:rsidR="00F91F6C" w:rsidRDefault="00000000">
            <w:pPr>
              <w:numPr>
                <w:ilvl w:val="2"/>
                <w:numId w:val="14"/>
              </w:numPr>
              <w:snapToGrid w:val="0"/>
              <w:ind w:left="1599" w:hanging="363"/>
              <w:rPr>
                <w:rFonts w:eastAsia="Batang"/>
                <w:sz w:val="20"/>
                <w:szCs w:val="18"/>
              </w:rPr>
            </w:pPr>
            <w:r>
              <w:rPr>
                <w:rFonts w:eastAsia="Batang"/>
                <w:sz w:val="20"/>
                <w:szCs w:val="18"/>
              </w:rPr>
              <w:t>i.e., no spec impact is assumed for actual TDW determination.</w:t>
            </w:r>
          </w:p>
          <w:p w14:paraId="31DEC524" w14:textId="77777777" w:rsidR="00F91F6C" w:rsidRDefault="00000000">
            <w:pPr>
              <w:numPr>
                <w:ilvl w:val="1"/>
                <w:numId w:val="12"/>
              </w:numPr>
              <w:snapToGrid w:val="0"/>
              <w:ind w:left="1185"/>
              <w:rPr>
                <w:rFonts w:eastAsia="Batang"/>
                <w:sz w:val="20"/>
                <w:szCs w:val="18"/>
              </w:rPr>
            </w:pPr>
            <w:r>
              <w:rPr>
                <w:rFonts w:eastAsia="Batang"/>
                <w:sz w:val="20"/>
                <w:szCs w:val="18"/>
              </w:rPr>
              <w:t>Alt B: New event of TA pre-compensation timing dynamically indicated by gNB</w:t>
            </w:r>
          </w:p>
          <w:p w14:paraId="4A3DCC9F" w14:textId="77777777" w:rsidR="00F91F6C" w:rsidRDefault="00000000">
            <w:pPr>
              <w:numPr>
                <w:ilvl w:val="2"/>
                <w:numId w:val="14"/>
              </w:numPr>
              <w:snapToGrid w:val="0"/>
              <w:ind w:left="1599" w:hanging="363"/>
              <w:rPr>
                <w:rFonts w:eastAsia="Batang"/>
                <w:sz w:val="20"/>
                <w:szCs w:val="18"/>
              </w:rPr>
            </w:pPr>
            <w:r>
              <w:rPr>
                <w:rFonts w:eastAsia="Batang"/>
                <w:sz w:val="20"/>
                <w:szCs w:val="18"/>
              </w:rPr>
              <w:t>i.e., TA pre-compensation timing can be dynamically indicated by gNB</w:t>
            </w:r>
          </w:p>
          <w:p w14:paraId="3FDFC1BC" w14:textId="77777777" w:rsidR="00F91F6C" w:rsidRDefault="00000000">
            <w:pPr>
              <w:numPr>
                <w:ilvl w:val="2"/>
                <w:numId w:val="14"/>
              </w:numPr>
              <w:snapToGrid w:val="0"/>
              <w:ind w:left="1599" w:hanging="363"/>
              <w:rPr>
                <w:rFonts w:eastAsia="Batang"/>
                <w:sz w:val="20"/>
                <w:szCs w:val="18"/>
              </w:rPr>
            </w:pPr>
            <w:r>
              <w:rPr>
                <w:rFonts w:eastAsia="Batang"/>
                <w:sz w:val="20"/>
                <w:szCs w:val="18"/>
              </w:rPr>
              <w:t>Note: UE can perform TA pre-compensation update at the indicated timing</w:t>
            </w:r>
          </w:p>
          <w:p w14:paraId="06181833" w14:textId="77777777" w:rsidR="00F91F6C" w:rsidRDefault="00000000">
            <w:pPr>
              <w:numPr>
                <w:ilvl w:val="2"/>
                <w:numId w:val="14"/>
              </w:numPr>
              <w:snapToGrid w:val="0"/>
              <w:ind w:left="1599" w:hanging="363"/>
              <w:rPr>
                <w:rFonts w:eastAsia="Batang"/>
                <w:sz w:val="20"/>
                <w:szCs w:val="18"/>
              </w:rPr>
            </w:pPr>
            <w:r>
              <w:rPr>
                <w:rFonts w:eastAsia="Batang"/>
                <w:sz w:val="20"/>
                <w:szCs w:val="18"/>
              </w:rPr>
              <w:t>FFS: detailed indication</w:t>
            </w:r>
          </w:p>
          <w:p w14:paraId="65651A44" w14:textId="77777777" w:rsidR="00F91F6C" w:rsidRDefault="00000000">
            <w:pPr>
              <w:numPr>
                <w:ilvl w:val="1"/>
                <w:numId w:val="12"/>
              </w:numPr>
              <w:snapToGrid w:val="0"/>
              <w:ind w:left="1185"/>
              <w:rPr>
                <w:rFonts w:eastAsia="Batang"/>
                <w:sz w:val="20"/>
                <w:szCs w:val="18"/>
              </w:rPr>
            </w:pPr>
            <w:r>
              <w:rPr>
                <w:rFonts w:eastAsia="Batang"/>
                <w:sz w:val="20"/>
                <w:szCs w:val="18"/>
              </w:rPr>
              <w:t>Alt C: as dynamically indicated by gNB</w:t>
            </w:r>
          </w:p>
          <w:p w14:paraId="72AD9651" w14:textId="77777777" w:rsidR="00F91F6C" w:rsidRDefault="00000000">
            <w:pPr>
              <w:numPr>
                <w:ilvl w:val="2"/>
                <w:numId w:val="14"/>
              </w:numPr>
              <w:snapToGrid w:val="0"/>
              <w:ind w:left="1599" w:hanging="363"/>
              <w:rPr>
                <w:rFonts w:eastAsia="Batang"/>
                <w:sz w:val="20"/>
                <w:szCs w:val="18"/>
              </w:rPr>
            </w:pPr>
            <w:r>
              <w:rPr>
                <w:rFonts w:eastAsia="Batang"/>
                <w:sz w:val="20"/>
                <w:szCs w:val="18"/>
              </w:rPr>
              <w:t>i.e., actual TDW can be dynamically indicated by gNB</w:t>
            </w:r>
          </w:p>
          <w:p w14:paraId="086C85AF" w14:textId="77777777" w:rsidR="00F91F6C" w:rsidRDefault="00000000">
            <w:pPr>
              <w:numPr>
                <w:ilvl w:val="2"/>
                <w:numId w:val="14"/>
              </w:numPr>
              <w:snapToGrid w:val="0"/>
              <w:ind w:left="1599" w:hanging="363"/>
              <w:rPr>
                <w:rFonts w:eastAsia="Batang"/>
                <w:sz w:val="20"/>
                <w:szCs w:val="18"/>
              </w:rPr>
            </w:pPr>
            <w:r>
              <w:rPr>
                <w:rFonts w:eastAsia="Batang"/>
                <w:sz w:val="20"/>
                <w:szCs w:val="18"/>
              </w:rPr>
              <w:t>FFS: detailed indication</w:t>
            </w:r>
          </w:p>
          <w:p w14:paraId="46513F8C" w14:textId="77777777" w:rsidR="00F91F6C" w:rsidRDefault="00000000">
            <w:pPr>
              <w:numPr>
                <w:ilvl w:val="1"/>
                <w:numId w:val="12"/>
              </w:numPr>
              <w:snapToGrid w:val="0"/>
              <w:ind w:left="1185"/>
              <w:rPr>
                <w:rFonts w:eastAsia="Batang"/>
                <w:sz w:val="20"/>
                <w:szCs w:val="18"/>
              </w:rPr>
            </w:pPr>
            <w:r>
              <w:rPr>
                <w:rFonts w:eastAsia="Batang"/>
                <w:sz w:val="20"/>
                <w:szCs w:val="18"/>
              </w:rPr>
              <w:t>Alt D: New event based on epoch time</w:t>
            </w:r>
          </w:p>
          <w:p w14:paraId="35FFC7CF" w14:textId="77777777" w:rsidR="00F91F6C" w:rsidRDefault="00000000">
            <w:pPr>
              <w:numPr>
                <w:ilvl w:val="2"/>
                <w:numId w:val="14"/>
              </w:numPr>
              <w:snapToGrid w:val="0"/>
              <w:ind w:left="1599" w:hanging="363"/>
              <w:rPr>
                <w:rFonts w:eastAsia="Batang"/>
                <w:sz w:val="20"/>
                <w:szCs w:val="18"/>
              </w:rPr>
            </w:pPr>
            <w:r>
              <w:rPr>
                <w:rFonts w:eastAsia="Batang"/>
                <w:sz w:val="20"/>
                <w:szCs w:val="18"/>
              </w:rPr>
              <w:t>FFS details</w:t>
            </w:r>
          </w:p>
          <w:p w14:paraId="30A123E5" w14:textId="77777777" w:rsidR="00F91F6C" w:rsidRDefault="00000000">
            <w:pPr>
              <w:numPr>
                <w:ilvl w:val="1"/>
                <w:numId w:val="12"/>
              </w:numPr>
              <w:snapToGrid w:val="0"/>
              <w:ind w:left="1185"/>
              <w:rPr>
                <w:sz w:val="20"/>
                <w:szCs w:val="20"/>
              </w:rPr>
            </w:pPr>
            <w:r>
              <w:rPr>
                <w:rFonts w:eastAsia="Batang"/>
                <w:sz w:val="20"/>
                <w:szCs w:val="18"/>
              </w:rPr>
              <w:t xml:space="preserve">Alt E: </w:t>
            </w:r>
            <w:r>
              <w:rPr>
                <w:rFonts w:eastAsia="等线"/>
                <w:sz w:val="20"/>
                <w:szCs w:val="20"/>
              </w:rPr>
              <w:t>New event based on antenna switching</w:t>
            </w:r>
          </w:p>
          <w:p w14:paraId="30EADDE9" w14:textId="77777777" w:rsidR="00F91F6C" w:rsidRDefault="00F91F6C">
            <w:pPr>
              <w:rPr>
                <w:bCs/>
                <w:sz w:val="20"/>
                <w:szCs w:val="20"/>
              </w:rPr>
            </w:pPr>
          </w:p>
          <w:p w14:paraId="3D5005B1" w14:textId="77777777" w:rsidR="00F91F6C" w:rsidRDefault="00000000">
            <w:pPr>
              <w:rPr>
                <w:bCs/>
                <w:sz w:val="20"/>
                <w:szCs w:val="20"/>
              </w:rPr>
            </w:pPr>
            <w:r>
              <w:rPr>
                <w:rFonts w:hint="eastAsia"/>
                <w:b/>
                <w:sz w:val="20"/>
                <w:szCs w:val="20"/>
                <w:highlight w:val="green"/>
              </w:rPr>
              <w:t xml:space="preserve">RAN1#113 </w:t>
            </w:r>
            <w:r>
              <w:rPr>
                <w:b/>
                <w:sz w:val="20"/>
                <w:szCs w:val="20"/>
                <w:highlight w:val="green"/>
              </w:rPr>
              <w:t>Agreement</w:t>
            </w:r>
          </w:p>
          <w:p w14:paraId="41F72D2B" w14:textId="77777777" w:rsidR="00F91F6C" w:rsidRDefault="00000000">
            <w:pPr>
              <w:snapToGrid w:val="0"/>
              <w:rPr>
                <w:rFonts w:eastAsia="等线"/>
                <w:sz w:val="20"/>
                <w:szCs w:val="20"/>
              </w:rPr>
            </w:pPr>
            <w:r>
              <w:rPr>
                <w:sz w:val="20"/>
                <w:szCs w:val="20"/>
              </w:rPr>
              <w:t xml:space="preserve">For NTN-specific PUSCH DMRS bundling, </w:t>
            </w:r>
          </w:p>
          <w:p w14:paraId="428CAA9B" w14:textId="77777777" w:rsidR="00F91F6C" w:rsidRDefault="00000000">
            <w:pPr>
              <w:numPr>
                <w:ilvl w:val="0"/>
                <w:numId w:val="12"/>
              </w:numPr>
              <w:snapToGrid w:val="0"/>
              <w:spacing w:afterLines="50" w:after="120"/>
              <w:ind w:left="720"/>
              <w:rPr>
                <w:sz w:val="20"/>
                <w:szCs w:val="20"/>
              </w:rPr>
            </w:pPr>
            <w:r>
              <w:rPr>
                <w:rFonts w:eastAsia="等线"/>
                <w:sz w:val="20"/>
                <w:szCs w:val="20"/>
              </w:rPr>
              <w:t xml:space="preserve">As UE capability report (in addition to FG 44-2), </w:t>
            </w:r>
            <w:r>
              <w:rPr>
                <w:sz w:val="20"/>
                <w:szCs w:val="20"/>
              </w:rPr>
              <w:t>one or more of the following is down-selected.</w:t>
            </w:r>
          </w:p>
          <w:p w14:paraId="2979C9F0" w14:textId="77777777" w:rsidR="00F91F6C" w:rsidRDefault="00000000">
            <w:pPr>
              <w:numPr>
                <w:ilvl w:val="1"/>
                <w:numId w:val="12"/>
              </w:numPr>
              <w:snapToGrid w:val="0"/>
              <w:ind w:left="1185"/>
              <w:rPr>
                <w:sz w:val="20"/>
                <w:szCs w:val="20"/>
              </w:rPr>
            </w:pPr>
            <w:r>
              <w:rPr>
                <w:rFonts w:eastAsia="等线"/>
                <w:sz w:val="20"/>
                <w:szCs w:val="20"/>
              </w:rPr>
              <w:t>Option 1a: No new capability except for FG44-2</w:t>
            </w:r>
          </w:p>
          <w:p w14:paraId="4044B68F" w14:textId="77777777" w:rsidR="00F91F6C" w:rsidRDefault="00000000">
            <w:pPr>
              <w:numPr>
                <w:ilvl w:val="2"/>
                <w:numId w:val="14"/>
              </w:numPr>
              <w:snapToGrid w:val="0"/>
              <w:ind w:left="1599" w:hanging="363"/>
              <w:rPr>
                <w:sz w:val="20"/>
                <w:szCs w:val="20"/>
              </w:rPr>
            </w:pPr>
            <w:r>
              <w:rPr>
                <w:rFonts w:eastAsia="等线"/>
                <w:sz w:val="20"/>
                <w:szCs w:val="20"/>
              </w:rPr>
              <w:t>Note: FG 30-4 is reported [in consideration of pre-compensation to keep phase rotation due to timing drift within the phase difference limit and without taking TA pre-compensation update into account]</w:t>
            </w:r>
          </w:p>
          <w:p w14:paraId="271C5289" w14:textId="77777777" w:rsidR="00F91F6C" w:rsidRDefault="00000000">
            <w:pPr>
              <w:numPr>
                <w:ilvl w:val="1"/>
                <w:numId w:val="12"/>
              </w:numPr>
              <w:snapToGrid w:val="0"/>
              <w:ind w:left="1185"/>
              <w:rPr>
                <w:sz w:val="20"/>
                <w:szCs w:val="20"/>
              </w:rPr>
            </w:pPr>
            <w:r>
              <w:rPr>
                <w:rFonts w:eastAsia="等线"/>
                <w:sz w:val="20"/>
                <w:szCs w:val="20"/>
              </w:rPr>
              <w:t>Option 1b: Max TDW size when pre-compensation to keep phase rotation due to timing drift within the phase difference limit is performed and without taking TA pre-compensation update into account</w:t>
            </w:r>
          </w:p>
          <w:p w14:paraId="0497094C" w14:textId="77777777" w:rsidR="00F91F6C" w:rsidRDefault="00000000">
            <w:pPr>
              <w:numPr>
                <w:ilvl w:val="2"/>
                <w:numId w:val="14"/>
              </w:numPr>
              <w:snapToGrid w:val="0"/>
              <w:ind w:left="1599" w:hanging="363"/>
              <w:rPr>
                <w:sz w:val="20"/>
                <w:szCs w:val="20"/>
              </w:rPr>
            </w:pPr>
            <w:r>
              <w:rPr>
                <w:rFonts w:eastAsia="等线"/>
                <w:sz w:val="20"/>
                <w:szCs w:val="20"/>
              </w:rPr>
              <w:t>Note: FG 30-4 is not reported for NTN band</w:t>
            </w:r>
          </w:p>
          <w:p w14:paraId="314C4C94" w14:textId="77777777" w:rsidR="00F91F6C" w:rsidRDefault="00000000">
            <w:pPr>
              <w:numPr>
                <w:ilvl w:val="1"/>
                <w:numId w:val="12"/>
              </w:numPr>
              <w:snapToGrid w:val="0"/>
              <w:ind w:left="1185"/>
              <w:rPr>
                <w:rFonts w:eastAsia="等线"/>
                <w:sz w:val="20"/>
                <w:szCs w:val="20"/>
              </w:rPr>
            </w:pPr>
            <w:r>
              <w:rPr>
                <w:rFonts w:eastAsia="等线"/>
                <w:sz w:val="20"/>
                <w:szCs w:val="20"/>
              </w:rPr>
              <w:t>Option 1c: Support of antenna switching with DMRS bundling in NTN</w:t>
            </w:r>
          </w:p>
          <w:p w14:paraId="5722846F" w14:textId="77777777" w:rsidR="00F91F6C" w:rsidRDefault="00000000">
            <w:pPr>
              <w:numPr>
                <w:ilvl w:val="1"/>
                <w:numId w:val="12"/>
              </w:numPr>
              <w:snapToGrid w:val="0"/>
              <w:ind w:left="1185"/>
              <w:rPr>
                <w:rFonts w:eastAsia="等线"/>
                <w:sz w:val="20"/>
                <w:szCs w:val="20"/>
              </w:rPr>
            </w:pPr>
            <w:r>
              <w:rPr>
                <w:rFonts w:eastAsia="等线"/>
                <w:sz w:val="20"/>
                <w:szCs w:val="20"/>
              </w:rPr>
              <w:t>Option 1d: Max TDW size per NTN platform (e.g., LEO, MEO, GEO) with taking TA pre-compensation update into account</w:t>
            </w:r>
          </w:p>
          <w:p w14:paraId="623F78C7" w14:textId="77777777" w:rsidR="00F91F6C" w:rsidRDefault="00000000">
            <w:pPr>
              <w:numPr>
                <w:ilvl w:val="2"/>
                <w:numId w:val="14"/>
              </w:numPr>
              <w:snapToGrid w:val="0"/>
              <w:ind w:left="1599" w:hanging="363"/>
              <w:rPr>
                <w:rFonts w:eastAsia="等线"/>
                <w:sz w:val="20"/>
                <w:szCs w:val="20"/>
              </w:rPr>
            </w:pPr>
            <w:r>
              <w:rPr>
                <w:rFonts w:eastAsia="等线"/>
                <w:sz w:val="20"/>
                <w:szCs w:val="20"/>
              </w:rPr>
              <w:t>FFS details</w:t>
            </w:r>
          </w:p>
          <w:p w14:paraId="38095E0F" w14:textId="77777777" w:rsidR="00F91F6C" w:rsidRDefault="00000000">
            <w:pPr>
              <w:numPr>
                <w:ilvl w:val="1"/>
                <w:numId w:val="12"/>
              </w:numPr>
              <w:snapToGrid w:val="0"/>
              <w:ind w:left="1185"/>
              <w:rPr>
                <w:rFonts w:eastAsia="等线"/>
                <w:sz w:val="20"/>
                <w:szCs w:val="20"/>
              </w:rPr>
            </w:pPr>
            <w:r>
              <w:rPr>
                <w:rFonts w:eastAsia="等线"/>
                <w:sz w:val="20"/>
                <w:szCs w:val="20"/>
              </w:rPr>
              <w:t>Option 1e: Max TDW size per elevation angle with taking TA pre-compensation update into account</w:t>
            </w:r>
          </w:p>
          <w:p w14:paraId="5A6A3146" w14:textId="77777777" w:rsidR="00F91F6C" w:rsidRDefault="00000000">
            <w:pPr>
              <w:numPr>
                <w:ilvl w:val="1"/>
                <w:numId w:val="12"/>
              </w:numPr>
              <w:snapToGrid w:val="0"/>
              <w:ind w:left="1185"/>
              <w:rPr>
                <w:rFonts w:eastAsia="等线"/>
                <w:sz w:val="20"/>
                <w:szCs w:val="20"/>
              </w:rPr>
            </w:pPr>
            <w:r>
              <w:rPr>
                <w:rFonts w:eastAsia="等线"/>
                <w:sz w:val="20"/>
                <w:szCs w:val="20"/>
              </w:rPr>
              <w:t>Option 1f: Whether to support actual TDW across pre-compensation segments</w:t>
            </w:r>
          </w:p>
          <w:p w14:paraId="36F143BD" w14:textId="77777777" w:rsidR="00F91F6C" w:rsidRDefault="00000000">
            <w:pPr>
              <w:numPr>
                <w:ilvl w:val="2"/>
                <w:numId w:val="14"/>
              </w:numPr>
              <w:snapToGrid w:val="0"/>
              <w:ind w:left="1599" w:hanging="363"/>
              <w:rPr>
                <w:rFonts w:eastAsia="等线"/>
                <w:sz w:val="20"/>
                <w:szCs w:val="20"/>
              </w:rPr>
            </w:pPr>
            <w:r>
              <w:rPr>
                <w:rFonts w:eastAsia="等线"/>
                <w:sz w:val="20"/>
                <w:szCs w:val="20"/>
              </w:rPr>
              <w:t>Segments defined in R17 IoT-NTN is baseline, FFS details</w:t>
            </w:r>
          </w:p>
          <w:p w14:paraId="60C0866B" w14:textId="77777777" w:rsidR="00F91F6C" w:rsidRDefault="00000000">
            <w:pPr>
              <w:numPr>
                <w:ilvl w:val="1"/>
                <w:numId w:val="12"/>
              </w:numPr>
              <w:snapToGrid w:val="0"/>
              <w:ind w:left="1185"/>
              <w:rPr>
                <w:sz w:val="20"/>
                <w:szCs w:val="20"/>
              </w:rPr>
            </w:pPr>
            <w:r>
              <w:rPr>
                <w:rFonts w:eastAsia="等线"/>
                <w:sz w:val="20"/>
                <w:szCs w:val="20"/>
              </w:rPr>
              <w:t>Option 1g: Whether to support TA pre-compensation update within an actual TDW that does not violate the phase difference limit</w:t>
            </w:r>
          </w:p>
          <w:p w14:paraId="54F1B221" w14:textId="77777777" w:rsidR="00F91F6C" w:rsidRDefault="00000000">
            <w:pPr>
              <w:numPr>
                <w:ilvl w:val="0"/>
                <w:numId w:val="12"/>
              </w:numPr>
              <w:snapToGrid w:val="0"/>
              <w:spacing w:afterLines="50" w:after="120"/>
              <w:ind w:left="720"/>
              <w:rPr>
                <w:sz w:val="20"/>
                <w:szCs w:val="20"/>
              </w:rPr>
            </w:pPr>
            <w:r>
              <w:rPr>
                <w:rFonts w:eastAsia="等线"/>
                <w:sz w:val="20"/>
                <w:szCs w:val="20"/>
              </w:rPr>
              <w:t xml:space="preserve">As UE assistance information (i.e., report by signaling other than UE capability report (FFS details)), </w:t>
            </w:r>
            <w:r>
              <w:rPr>
                <w:sz w:val="20"/>
                <w:szCs w:val="20"/>
              </w:rPr>
              <w:t>one or more of the following is down-selected.</w:t>
            </w:r>
          </w:p>
          <w:p w14:paraId="574B6E1C" w14:textId="77777777" w:rsidR="00F91F6C" w:rsidRDefault="00000000">
            <w:pPr>
              <w:numPr>
                <w:ilvl w:val="1"/>
                <w:numId w:val="12"/>
              </w:numPr>
              <w:snapToGrid w:val="0"/>
              <w:ind w:left="1185"/>
              <w:rPr>
                <w:rFonts w:eastAsia="等线"/>
                <w:sz w:val="20"/>
                <w:szCs w:val="20"/>
              </w:rPr>
            </w:pPr>
            <w:r>
              <w:rPr>
                <w:rFonts w:eastAsia="等线"/>
                <w:sz w:val="20"/>
                <w:szCs w:val="20"/>
              </w:rPr>
              <w:t>Option 2a: No assistance information</w:t>
            </w:r>
          </w:p>
          <w:p w14:paraId="03CC0503" w14:textId="77777777" w:rsidR="00F91F6C" w:rsidRDefault="00000000">
            <w:pPr>
              <w:numPr>
                <w:ilvl w:val="1"/>
                <w:numId w:val="12"/>
              </w:numPr>
              <w:snapToGrid w:val="0"/>
              <w:ind w:left="1185"/>
              <w:rPr>
                <w:rFonts w:eastAsia="等线"/>
                <w:sz w:val="20"/>
                <w:szCs w:val="20"/>
              </w:rPr>
            </w:pPr>
            <w:r>
              <w:rPr>
                <w:rFonts w:eastAsia="等线"/>
                <w:sz w:val="20"/>
                <w:szCs w:val="20"/>
              </w:rPr>
              <w:t>Option 2b: Max TDW size based on reporting timing</w:t>
            </w:r>
          </w:p>
          <w:p w14:paraId="44E8F997" w14:textId="77777777" w:rsidR="00F91F6C" w:rsidRDefault="00000000">
            <w:pPr>
              <w:numPr>
                <w:ilvl w:val="2"/>
                <w:numId w:val="14"/>
              </w:numPr>
              <w:snapToGrid w:val="0"/>
              <w:ind w:left="1599" w:hanging="363"/>
              <w:rPr>
                <w:rFonts w:eastAsia="等线"/>
                <w:sz w:val="20"/>
                <w:szCs w:val="20"/>
              </w:rPr>
            </w:pPr>
            <w:r>
              <w:rPr>
                <w:rFonts w:eastAsia="等线"/>
                <w:sz w:val="20"/>
                <w:szCs w:val="20"/>
              </w:rPr>
              <w:t>FFS which timing is referred</w:t>
            </w:r>
          </w:p>
          <w:p w14:paraId="38BBE3DB" w14:textId="77777777" w:rsidR="00F91F6C" w:rsidRDefault="00000000">
            <w:pPr>
              <w:numPr>
                <w:ilvl w:val="1"/>
                <w:numId w:val="12"/>
              </w:numPr>
              <w:snapToGrid w:val="0"/>
              <w:ind w:left="1185"/>
              <w:rPr>
                <w:sz w:val="20"/>
                <w:szCs w:val="20"/>
              </w:rPr>
            </w:pPr>
            <w:r>
              <w:rPr>
                <w:rFonts w:eastAsia="等线"/>
                <w:sz w:val="20"/>
                <w:szCs w:val="20"/>
              </w:rPr>
              <w:t>Option 2c: TA adjustment timing</w:t>
            </w:r>
          </w:p>
          <w:p w14:paraId="1B2125C6" w14:textId="77777777" w:rsidR="00F91F6C" w:rsidRDefault="00000000">
            <w:pPr>
              <w:numPr>
                <w:ilvl w:val="1"/>
                <w:numId w:val="12"/>
              </w:numPr>
              <w:snapToGrid w:val="0"/>
              <w:ind w:left="1185"/>
              <w:rPr>
                <w:sz w:val="20"/>
                <w:szCs w:val="20"/>
              </w:rPr>
            </w:pPr>
            <w:r>
              <w:rPr>
                <w:rFonts w:eastAsia="等线"/>
                <w:sz w:val="20"/>
                <w:szCs w:val="20"/>
              </w:rPr>
              <w:t>Option 2d: Antenna switching interval</w:t>
            </w:r>
          </w:p>
          <w:p w14:paraId="61B2CEE8" w14:textId="77777777" w:rsidR="00F91F6C" w:rsidRDefault="00F91F6C">
            <w:pPr>
              <w:snapToGrid w:val="0"/>
              <w:rPr>
                <w:sz w:val="20"/>
                <w:szCs w:val="20"/>
              </w:rPr>
            </w:pPr>
          </w:p>
        </w:tc>
      </w:tr>
    </w:tbl>
    <w:p w14:paraId="772EB0B7" w14:textId="5A8B3796" w:rsidR="00F91F6C" w:rsidRDefault="00000000">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lastRenderedPageBreak/>
        <w:t xml:space="preserve">For nominal TDW determination of NTN-specific PUSCH DMRS bundling, from our perspective, to avoid ambiguity between gNB and UE, the capability on the maximum time duration of maintaining phase continuity and power consistency </w:t>
      </w:r>
      <w:r>
        <w:rPr>
          <w:rFonts w:ascii="Times New Roman" w:hAnsi="Times New Roman" w:cs="Times New Roman" w:hint="eastAsia"/>
          <w:bCs/>
          <w:iCs/>
          <w:sz w:val="20"/>
          <w:szCs w:val="20"/>
        </w:rPr>
        <w:lastRenderedPageBreak/>
        <w:t xml:space="preserve">can be reported from UE based on </w:t>
      </w:r>
      <w:r w:rsidR="00F33075">
        <w:rPr>
          <w:rFonts w:ascii="Times New Roman" w:hAnsi="Times New Roman" w:cs="Times New Roman"/>
          <w:bCs/>
          <w:iCs/>
          <w:sz w:val="20"/>
          <w:szCs w:val="20"/>
        </w:rPr>
        <w:t>the</w:t>
      </w:r>
      <w:r w:rsidR="00F33075">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experienced timing drift indicated by network, </w:t>
      </w:r>
      <w:r>
        <w:rPr>
          <w:rFonts w:ascii="Times New Roman" w:hAnsi="Times New Roman" w:cs="Times New Roman"/>
          <w:bCs/>
          <w:sz w:val="20"/>
          <w:szCs w:val="20"/>
        </w:rPr>
        <w:t xml:space="preserve">which </w:t>
      </w:r>
      <w:r w:rsidR="00F33075">
        <w:rPr>
          <w:rFonts w:ascii="Times New Roman" w:hAnsi="Times New Roman" w:cs="Times New Roman"/>
          <w:bCs/>
          <w:sz w:val="20"/>
          <w:szCs w:val="20"/>
        </w:rPr>
        <w:t xml:space="preserve">can </w:t>
      </w:r>
      <w:r>
        <w:rPr>
          <w:rFonts w:ascii="Times New Roman" w:hAnsi="Times New Roman" w:cs="Times New Roman"/>
          <w:bCs/>
          <w:sz w:val="20"/>
          <w:szCs w:val="20"/>
        </w:rPr>
        <w:t xml:space="preserve">help gNB to determine the TDW </w:t>
      </w:r>
      <w:r>
        <w:rPr>
          <w:rFonts w:ascii="Times New Roman" w:hAnsi="Times New Roman" w:cs="Times New Roman" w:hint="eastAsia"/>
          <w:bCs/>
          <w:sz w:val="20"/>
          <w:szCs w:val="20"/>
        </w:rPr>
        <w:t xml:space="preserve">size </w:t>
      </w:r>
      <w:r>
        <w:rPr>
          <w:rFonts w:ascii="Times New Roman" w:hAnsi="Times New Roman" w:cs="Times New Roman"/>
          <w:bCs/>
          <w:sz w:val="20"/>
          <w:szCs w:val="20"/>
        </w:rPr>
        <w:t>more appropriately.</w:t>
      </w:r>
      <w:r>
        <w:rPr>
          <w:rFonts w:ascii="Times New Roman" w:hAnsi="Times New Roman" w:cs="Times New Roman" w:hint="eastAsia"/>
          <w:bCs/>
          <w:sz w:val="20"/>
          <w:szCs w:val="20"/>
        </w:rPr>
        <w:t xml:space="preserve"> Then with the UE-specific RRC signalling </w:t>
      </w:r>
      <w:r>
        <w:rPr>
          <w:rFonts w:ascii="Times New Roman" w:hAnsi="Times New Roman" w:cs="Times New Roman" w:hint="eastAsia"/>
          <w:bCs/>
          <w:i/>
          <w:iCs/>
          <w:sz w:val="20"/>
          <w:szCs w:val="20"/>
        </w:rPr>
        <w:t>PUSCH-TimeDomainWindowLength</w:t>
      </w:r>
      <w:r>
        <w:rPr>
          <w:rFonts w:ascii="Times New Roman" w:hAnsi="Times New Roman" w:cs="Times New Roman" w:hint="eastAsia"/>
          <w:bCs/>
          <w:sz w:val="20"/>
          <w:szCs w:val="20"/>
        </w:rPr>
        <w:t xml:space="preserve"> in the existing specification, UE can perform PUSCH transmissions across consecutive UL slots, which is similar to the configuration framework of Rel-17 DMRS bundling. And if the length of </w:t>
      </w:r>
      <w:bookmarkStart w:id="5" w:name="_Hlk142138395"/>
      <w:r>
        <w:rPr>
          <w:rFonts w:ascii="Times New Roman" w:hAnsi="Times New Roman" w:cs="Times New Roman" w:hint="eastAsia"/>
          <w:bCs/>
          <w:sz w:val="20"/>
          <w:szCs w:val="20"/>
        </w:rPr>
        <w:t>nominal TDW is not configured, the TDW size can be equal to the maximum time duration reported by UE.</w:t>
      </w:r>
      <w:bookmarkEnd w:id="5"/>
      <w:r>
        <w:rPr>
          <w:rFonts w:ascii="Times New Roman" w:hAnsi="Times New Roman" w:cs="Times New Roman"/>
          <w:sz w:val="20"/>
          <w:szCs w:val="20"/>
        </w:rPr>
        <w:t xml:space="preserve"> </w:t>
      </w:r>
    </w:p>
    <w:p w14:paraId="553E4993" w14:textId="64598329" w:rsidR="00F91F6C" w:rsidRDefault="00000000">
      <w:pPr>
        <w:spacing w:beforeLines="50" w:before="120" w:afterLines="50" w:after="120"/>
        <w:rPr>
          <w:rFonts w:ascii="Times New Roman" w:hAnsi="Times New Roman" w:cs="Times New Roman"/>
          <w:bCs/>
          <w:sz w:val="20"/>
          <w:szCs w:val="20"/>
        </w:rPr>
      </w:pPr>
      <w:r>
        <w:rPr>
          <w:rFonts w:ascii="Times New Roman" w:hAnsi="Times New Roman" w:cs="Times New Roman"/>
          <w:sz w:val="20"/>
          <w:szCs w:val="20"/>
        </w:rPr>
        <w:t xml:space="preserve">For actual TDW determination, </w:t>
      </w:r>
      <w:r>
        <w:rPr>
          <w:rFonts w:ascii="Times New Roman" w:hAnsi="Times New Roman" w:cs="Times New Roman" w:hint="eastAsia"/>
          <w:sz w:val="20"/>
          <w:szCs w:val="20"/>
        </w:rPr>
        <w:t xml:space="preserve">whether </w:t>
      </w:r>
      <w:r w:rsidR="00F33075">
        <w:rPr>
          <w:rFonts w:ascii="Times New Roman" w:hAnsi="Times New Roman" w:cs="Times New Roman"/>
          <w:sz w:val="20"/>
          <w:szCs w:val="20"/>
        </w:rPr>
        <w:t xml:space="preserve">introduce </w:t>
      </w:r>
      <w:r>
        <w:rPr>
          <w:rFonts w:ascii="Times New Roman" w:hAnsi="Times New Roman" w:cs="Times New Roman" w:hint="eastAsia"/>
          <w:sz w:val="20"/>
          <w:szCs w:val="20"/>
        </w:rPr>
        <w:t>new event for NTN-specific PUSCH DMRS bundling needs to be considered. F</w:t>
      </w:r>
      <w:r>
        <w:rPr>
          <w:rFonts w:ascii="Times New Roman" w:hAnsi="Times New Roman" w:cs="Times New Roman"/>
          <w:sz w:val="20"/>
          <w:szCs w:val="20"/>
        </w:rPr>
        <w:t>rom our understanding, a</w:t>
      </w:r>
      <w:r>
        <w:rPr>
          <w:rFonts w:ascii="Times New Roman" w:hAnsi="Times New Roman" w:cs="Times New Roman" w:hint="eastAsia"/>
          <w:sz w:val="20"/>
          <w:szCs w:val="20"/>
        </w:rPr>
        <w:t xml:space="preserve"> </w:t>
      </w:r>
      <w:r>
        <w:rPr>
          <w:rFonts w:ascii="Times New Roman" w:hAnsi="Times New Roman" w:cs="Times New Roman"/>
          <w:bCs/>
          <w:sz w:val="20"/>
          <w:szCs w:val="20"/>
        </w:rPr>
        <w:t>UE self-estimates TA to pre-compensate for the service link delay, which is calculated based on the UE position and the serving satellite ephemeris</w:t>
      </w:r>
      <w:r>
        <w:rPr>
          <w:rFonts w:ascii="Times New Roman" w:hAnsi="Times New Roman" w:cs="Times New Roman" w:hint="eastAsia"/>
          <w:bCs/>
          <w:sz w:val="20"/>
          <w:szCs w:val="20"/>
        </w:rPr>
        <w:t>, may be transparent for gNB</w:t>
      </w:r>
      <w:r>
        <w:rPr>
          <w:rFonts w:ascii="Times New Roman" w:hAnsi="Times New Roman" w:cs="Times New Roman"/>
          <w:bCs/>
          <w:sz w:val="20"/>
          <w:szCs w:val="20"/>
        </w:rPr>
        <w:t xml:space="preserve"> and unpredictable</w:t>
      </w:r>
      <w:r>
        <w:rPr>
          <w:rFonts w:ascii="Times New Roman" w:hAnsi="Times New Roman" w:cs="Times New Roman" w:hint="eastAsia"/>
          <w:bCs/>
          <w:sz w:val="20"/>
          <w:szCs w:val="20"/>
        </w:rPr>
        <w:t>.</w:t>
      </w:r>
      <w:r>
        <w:rPr>
          <w:rFonts w:ascii="Times New Roman" w:hAnsi="Times New Roman" w:cs="Times New Roman"/>
          <w:bCs/>
          <w:sz w:val="20"/>
          <w:szCs w:val="20"/>
        </w:rPr>
        <w:t xml:space="preserve"> Therefore, the feasibility of UE reporting the timing related information of UE pre-compensation</w:t>
      </w:r>
      <w:r w:rsidR="00047131">
        <w:rPr>
          <w:rFonts w:ascii="Times New Roman" w:hAnsi="Times New Roman" w:cs="Times New Roman"/>
          <w:bCs/>
          <w:sz w:val="20"/>
          <w:szCs w:val="20"/>
        </w:rPr>
        <w:t>. Thus</w:t>
      </w:r>
      <w:r>
        <w:rPr>
          <w:rFonts w:ascii="Times New Roman" w:hAnsi="Times New Roman" w:cs="Times New Roman" w:hint="eastAsia"/>
          <w:bCs/>
          <w:sz w:val="20"/>
          <w:szCs w:val="20"/>
        </w:rPr>
        <w:t xml:space="preserve">, it is unnecessary to define </w:t>
      </w:r>
      <w:r w:rsidR="00692694">
        <w:rPr>
          <w:rFonts w:ascii="Times New Roman" w:hAnsi="Times New Roman" w:cs="Times New Roman"/>
          <w:bCs/>
          <w:sz w:val="20"/>
          <w:szCs w:val="20"/>
        </w:rPr>
        <w:t xml:space="preserve">additional </w:t>
      </w:r>
      <w:r>
        <w:rPr>
          <w:rFonts w:ascii="Times New Roman" w:hAnsi="Times New Roman" w:cs="Times New Roman" w:hint="eastAsia"/>
          <w:bCs/>
          <w:sz w:val="20"/>
          <w:szCs w:val="20"/>
        </w:rPr>
        <w:t xml:space="preserve">new event for NTN-specific DMRS bundling. </w:t>
      </w:r>
    </w:p>
    <w:p w14:paraId="51997839" w14:textId="77777777" w:rsidR="00F91F6C" w:rsidRDefault="00000000">
      <w:pPr>
        <w:spacing w:beforeLines="50" w:before="120" w:afterLines="50" w:after="120"/>
        <w:rPr>
          <w:rFonts w:ascii="Times New Roman" w:hAnsi="Times New Roman" w:cs="Times New Roman"/>
          <w:bCs/>
          <w:sz w:val="20"/>
          <w:szCs w:val="20"/>
        </w:rPr>
      </w:pPr>
      <w:r>
        <w:rPr>
          <w:rFonts w:ascii="Times New Roman" w:hAnsi="Times New Roman" w:cs="Times New Roman" w:hint="eastAsia"/>
          <w:b/>
          <w:bCs/>
          <w:sz w:val="20"/>
          <w:szCs w:val="20"/>
        </w:rPr>
        <w:t>Proposal 4. For NTN-specific PUSCH DMRS bundling, support UE report the capability on the maximum time duration of maintaining phase continuity and power consistency in NTN scenarios.</w:t>
      </w:r>
    </w:p>
    <w:p w14:paraId="07A60B29" w14:textId="5909A9E3" w:rsidR="00F91F6C" w:rsidRDefault="00000000">
      <w:pPr>
        <w:spacing w:beforeLines="50" w:before="120" w:afterLines="50" w:after="120"/>
        <w:rPr>
          <w:rFonts w:ascii="Times New Roman" w:hAnsi="Times New Roman" w:cs="Times New Roman"/>
          <w:b/>
          <w:bCs/>
          <w:sz w:val="20"/>
          <w:szCs w:val="20"/>
        </w:rPr>
      </w:pPr>
      <w:r>
        <w:rPr>
          <w:rFonts w:ascii="Times New Roman" w:hAnsi="Times New Roman" w:cs="Times New Roman" w:hint="eastAsia"/>
          <w:b/>
          <w:bCs/>
          <w:sz w:val="20"/>
          <w:szCs w:val="20"/>
        </w:rPr>
        <w:t>Proposal 5</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For NTN-specific PUSCH DMRS bundling,</w:t>
      </w:r>
      <w:r>
        <w:rPr>
          <w:rFonts w:ascii="Times New Roman" w:hAnsi="Times New Roman" w:cs="Times New Roman"/>
          <w:b/>
          <w:bCs/>
          <w:sz w:val="20"/>
          <w:szCs w:val="20"/>
        </w:rPr>
        <w:t xml:space="preserve"> nominal TDW is configured by gNB as in the existing specification, </w:t>
      </w:r>
      <w:r>
        <w:rPr>
          <w:rFonts w:ascii="Times New Roman" w:hAnsi="Times New Roman" w:cs="Times New Roman" w:hint="eastAsia"/>
          <w:b/>
          <w:bCs/>
          <w:sz w:val="20"/>
          <w:szCs w:val="20"/>
        </w:rPr>
        <w:t xml:space="preserve">if </w:t>
      </w:r>
      <w:r w:rsidR="00692694">
        <w:rPr>
          <w:rFonts w:ascii="Times New Roman" w:hAnsi="Times New Roman" w:cs="Times New Roman"/>
          <w:b/>
          <w:bCs/>
          <w:sz w:val="20"/>
          <w:szCs w:val="20"/>
        </w:rPr>
        <w:t>the corresponding RRC signalling</w:t>
      </w:r>
      <w:r w:rsidR="00692694" w:rsidRPr="00692694">
        <w:rPr>
          <w:rFonts w:ascii="Times New Roman" w:hAnsi="Times New Roman" w:cs="Times New Roman"/>
          <w:b/>
          <w:bCs/>
          <w:sz w:val="20"/>
          <w:szCs w:val="20"/>
        </w:rPr>
        <w:t xml:space="preserve"> is not configured, the TDW size can be equal to the maximum time duration reported by UE.</w:t>
      </w:r>
    </w:p>
    <w:p w14:paraId="0806DF51" w14:textId="77777777" w:rsidR="00F91F6C" w:rsidRDefault="00000000">
      <w:pPr>
        <w:spacing w:beforeLines="50" w:before="120" w:afterLines="50" w:after="120"/>
        <w:rPr>
          <w:rFonts w:ascii="Times New Roman" w:hAnsi="Times New Roman" w:cs="Times New Roman"/>
          <w:b/>
          <w:bCs/>
          <w:sz w:val="20"/>
          <w:szCs w:val="20"/>
        </w:rPr>
      </w:pPr>
      <w:r>
        <w:rPr>
          <w:rFonts w:ascii="Times New Roman" w:hAnsi="Times New Roman" w:cs="Times New Roman" w:hint="eastAsia"/>
          <w:b/>
          <w:bCs/>
          <w:sz w:val="20"/>
          <w:szCs w:val="20"/>
        </w:rPr>
        <w:t>Proposal 6. For NTN-specific PUSCH DMRS bundling, actual TDW can be determined by the existing events and no need to define additional new events.</w:t>
      </w:r>
    </w:p>
    <w:p w14:paraId="0AB1DB7B" w14:textId="77777777" w:rsidR="00F91F6C" w:rsidRDefault="00F91F6C">
      <w:pPr>
        <w:spacing w:beforeLines="50" w:before="120" w:afterLines="50" w:after="120"/>
        <w:rPr>
          <w:rFonts w:ascii="Times New Roman" w:hAnsi="Times New Roman" w:cs="Times New Roman"/>
          <w:bCs/>
          <w:sz w:val="20"/>
          <w:szCs w:val="20"/>
        </w:rPr>
      </w:pPr>
    </w:p>
    <w:bookmarkEnd w:id="4"/>
    <w:p w14:paraId="643DA1DF" w14:textId="77777777" w:rsidR="00F91F6C"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rPr>
          <w:rFonts w:ascii="Times New Roman" w:hAnsi="Times New Roman"/>
          <w:sz w:val="28"/>
          <w:szCs w:val="28"/>
        </w:rPr>
      </w:pPr>
      <w:r>
        <w:rPr>
          <w:rFonts w:ascii="Times New Roman" w:hAnsi="Times New Roman"/>
          <w:sz w:val="28"/>
          <w:szCs w:val="28"/>
        </w:rPr>
        <w:t>Conclusions</w:t>
      </w:r>
    </w:p>
    <w:p w14:paraId="2B77DDF3" w14:textId="77777777" w:rsidR="00F91F6C" w:rsidRDefault="00000000">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eastAsia="MS Mincho" w:hAnsi="Times New Roman" w:cs="Times New Roman"/>
          <w:sz w:val="20"/>
          <w:szCs w:val="20"/>
          <w:lang w:eastAsia="ja-JP"/>
        </w:rPr>
        <w:t xml:space="preserve">our views </w:t>
      </w:r>
      <w:r>
        <w:rPr>
          <w:rFonts w:ascii="Times New Roman" w:hAnsi="Times New Roman" w:cs="Times New Roman"/>
          <w:bCs/>
          <w:iCs/>
          <w:sz w:val="20"/>
          <w:szCs w:val="20"/>
        </w:rPr>
        <w:t>on some issues on coverage enhancement to NTN scenarios</w:t>
      </w:r>
      <w:r>
        <w:rPr>
          <w:rFonts w:ascii="Times New Roman" w:hAnsi="Times New Roman" w:cs="Times New Roman"/>
          <w:sz w:val="20"/>
          <w:szCs w:val="20"/>
          <w:lang w:val="en-GB"/>
        </w:rPr>
        <w:t>. The</w:t>
      </w:r>
      <w:r>
        <w:rPr>
          <w:rFonts w:ascii="Times New Roman" w:hAnsi="Times New Roman" w:cs="Times New Roman"/>
          <w:sz w:val="20"/>
          <w:szCs w:val="20"/>
        </w:rPr>
        <w:t xml:space="preserve"> </w:t>
      </w:r>
      <w:r>
        <w:rPr>
          <w:rFonts w:ascii="Times New Roman" w:hAnsi="Times New Roman" w:cs="Times New Roman"/>
          <w:sz w:val="20"/>
          <w:szCs w:val="20"/>
          <w:lang w:val="en-GB"/>
        </w:rPr>
        <w:t>proposals are summarized as follows:</w:t>
      </w:r>
    </w:p>
    <w:p w14:paraId="308A895F" w14:textId="77777777" w:rsidR="00F91F6C" w:rsidRDefault="00000000">
      <w:pPr>
        <w:tabs>
          <w:tab w:val="left" w:pos="1011"/>
        </w:tabs>
        <w:snapToGrid w:val="0"/>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Proposal 1</w:t>
      </w:r>
      <w:r>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For PUCCH repetition for Msg4 HARQ-ACK,</w:t>
      </w:r>
    </w:p>
    <w:p w14:paraId="4DC4D009" w14:textId="77777777" w:rsidR="00F91F6C" w:rsidRDefault="00000000">
      <w:pPr>
        <w:pStyle w:val="aff9"/>
        <w:numPr>
          <w:ilvl w:val="0"/>
          <w:numId w:val="13"/>
        </w:numPr>
        <w:spacing w:before="120" w:after="120"/>
        <w:ind w:left="726" w:firstLineChars="0" w:hanging="363"/>
        <w:jc w:val="both"/>
        <w:rPr>
          <w:rFonts w:eastAsia="宋体" w:cs="Times New Roman"/>
          <w:b/>
          <w:sz w:val="20"/>
          <w:szCs w:val="20"/>
        </w:rPr>
      </w:pPr>
      <w:r>
        <w:rPr>
          <w:rFonts w:eastAsia="宋体" w:cs="Times New Roman" w:hint="eastAsia"/>
          <w:b/>
          <w:sz w:val="20"/>
          <w:szCs w:val="20"/>
        </w:rPr>
        <w:t>A RSRP threshold can be configured via SIB at least when the number of repetitions is configured by SIB.</w:t>
      </w:r>
    </w:p>
    <w:p w14:paraId="126DD0E6" w14:textId="77777777" w:rsidR="00F91F6C" w:rsidRDefault="00000000">
      <w:pPr>
        <w:pStyle w:val="aff9"/>
        <w:numPr>
          <w:ilvl w:val="1"/>
          <w:numId w:val="13"/>
        </w:numPr>
        <w:spacing w:before="120" w:after="120"/>
        <w:ind w:left="1146" w:firstLineChars="0" w:hanging="363"/>
        <w:jc w:val="both"/>
        <w:rPr>
          <w:rFonts w:eastAsia="宋体" w:cs="Times New Roman"/>
          <w:b/>
          <w:sz w:val="20"/>
          <w:szCs w:val="20"/>
        </w:rPr>
      </w:pPr>
      <w:r>
        <w:rPr>
          <w:rFonts w:eastAsia="宋体" w:cs="Times New Roman" w:hint="eastAsia"/>
          <w:b/>
          <w:sz w:val="20"/>
          <w:szCs w:val="20"/>
        </w:rPr>
        <w:t>If the RSRP threshold is configured among the candidates of RSRP-Range,</w:t>
      </w:r>
    </w:p>
    <w:p w14:paraId="19F3C30D" w14:textId="77777777" w:rsidR="00F91F6C" w:rsidRDefault="00000000">
      <w:pPr>
        <w:pStyle w:val="aff9"/>
        <w:numPr>
          <w:ilvl w:val="2"/>
          <w:numId w:val="13"/>
        </w:numPr>
        <w:spacing w:before="120" w:after="120"/>
        <w:ind w:left="1566" w:firstLineChars="0" w:hanging="363"/>
        <w:jc w:val="both"/>
        <w:rPr>
          <w:rFonts w:eastAsia="宋体" w:cs="Times New Roman"/>
          <w:b/>
          <w:sz w:val="20"/>
          <w:szCs w:val="20"/>
        </w:rPr>
      </w:pPr>
      <w:r>
        <w:rPr>
          <w:rFonts w:eastAsia="宋体" w:cs="Times New Roman" w:hint="eastAsia"/>
          <w:b/>
          <w:sz w:val="20"/>
          <w:szCs w:val="20"/>
        </w:rPr>
        <w:t>UE capable of PUCCH repetition for Msg4 HARQ-ACK transmits repetition request if measured RSRP is lower than a RSRP threshold.</w:t>
      </w:r>
    </w:p>
    <w:p w14:paraId="378E85BE" w14:textId="77777777" w:rsidR="00F91F6C" w:rsidRDefault="00000000">
      <w:pPr>
        <w:pStyle w:val="aff9"/>
        <w:numPr>
          <w:ilvl w:val="1"/>
          <w:numId w:val="13"/>
        </w:numPr>
        <w:spacing w:before="120" w:after="120"/>
        <w:ind w:left="1146" w:firstLineChars="0" w:hanging="363"/>
        <w:jc w:val="both"/>
        <w:rPr>
          <w:rFonts w:eastAsia="宋体" w:cs="Times New Roman"/>
          <w:b/>
          <w:sz w:val="20"/>
          <w:szCs w:val="20"/>
        </w:rPr>
      </w:pPr>
      <w:r>
        <w:rPr>
          <w:rFonts w:eastAsia="宋体" w:cs="Times New Roman" w:hint="eastAsia"/>
          <w:b/>
          <w:sz w:val="20"/>
          <w:szCs w:val="20"/>
        </w:rPr>
        <w:t>If the RSRP threshold is not configured,</w:t>
      </w:r>
    </w:p>
    <w:p w14:paraId="71AD9074" w14:textId="77777777" w:rsidR="00F91F6C" w:rsidRDefault="00000000">
      <w:pPr>
        <w:pStyle w:val="aff9"/>
        <w:numPr>
          <w:ilvl w:val="2"/>
          <w:numId w:val="13"/>
        </w:numPr>
        <w:spacing w:before="120" w:after="120"/>
        <w:ind w:left="1566" w:firstLineChars="0" w:hanging="363"/>
        <w:jc w:val="both"/>
        <w:rPr>
          <w:rFonts w:eastAsia="宋体" w:cs="Times New Roman"/>
          <w:b/>
          <w:sz w:val="20"/>
          <w:szCs w:val="20"/>
        </w:rPr>
      </w:pPr>
      <w:r>
        <w:rPr>
          <w:rFonts w:eastAsia="宋体" w:cs="Times New Roman" w:hint="eastAsia"/>
          <w:b/>
          <w:sz w:val="20"/>
          <w:szCs w:val="20"/>
        </w:rPr>
        <w:t>UE capable of PUCCH repetition for Msg4 HARQ-ACK reports the capability of PUCCH repetition for Msg4 HARQ-ACK</w:t>
      </w:r>
      <w:r>
        <w:rPr>
          <w:rFonts w:eastAsia="宋体" w:cs="Times New Roman"/>
          <w:b/>
          <w:sz w:val="20"/>
          <w:szCs w:val="20"/>
        </w:rPr>
        <w:t>.</w:t>
      </w:r>
    </w:p>
    <w:p w14:paraId="2A8BA874" w14:textId="77777777" w:rsidR="00F91F6C" w:rsidRDefault="00000000">
      <w:pPr>
        <w:pStyle w:val="aff9"/>
        <w:numPr>
          <w:ilvl w:val="1"/>
          <w:numId w:val="13"/>
        </w:numPr>
        <w:spacing w:before="120" w:after="120"/>
        <w:ind w:left="1146" w:firstLineChars="0" w:hanging="363"/>
        <w:jc w:val="both"/>
        <w:rPr>
          <w:rFonts w:eastAsia="宋体" w:cs="Times New Roman"/>
          <w:b/>
          <w:sz w:val="20"/>
          <w:szCs w:val="20"/>
        </w:rPr>
      </w:pPr>
      <w:r>
        <w:rPr>
          <w:rFonts w:eastAsia="宋体" w:cs="Times New Roman"/>
          <w:b/>
          <w:sz w:val="20"/>
          <w:szCs w:val="20"/>
        </w:rPr>
        <w:t>For PUCCH repetition request for Msg4 HARQ-ACK, different RSRP threshold from R17 Msg3 repetition can be configured</w:t>
      </w:r>
      <w:r>
        <w:rPr>
          <w:rFonts w:eastAsia="宋体" w:cs="Times New Roman" w:hint="eastAsia"/>
          <w:b/>
          <w:sz w:val="20"/>
          <w:szCs w:val="20"/>
        </w:rPr>
        <w:t xml:space="preserve"> independently.</w:t>
      </w:r>
    </w:p>
    <w:p w14:paraId="4ACA3CC9" w14:textId="77777777" w:rsidR="00F91F6C" w:rsidRDefault="00000000">
      <w:pPr>
        <w:pStyle w:val="aff9"/>
        <w:numPr>
          <w:ilvl w:val="0"/>
          <w:numId w:val="13"/>
        </w:numPr>
        <w:spacing w:before="120" w:after="120"/>
        <w:ind w:left="726" w:firstLineChars="0" w:hanging="363"/>
        <w:jc w:val="both"/>
        <w:rPr>
          <w:rFonts w:cs="Times New Roman"/>
          <w:sz w:val="20"/>
          <w:szCs w:val="20"/>
        </w:rPr>
      </w:pPr>
      <w:r>
        <w:rPr>
          <w:rFonts w:eastAsia="宋体" w:cs="Times New Roman" w:hint="eastAsia"/>
          <w:b/>
          <w:sz w:val="20"/>
          <w:szCs w:val="20"/>
        </w:rPr>
        <w:t>Note: UE incapable of PUCCH repetition for Msg4 HARQ-ACK transmits neither repetition request nor capability report</w:t>
      </w:r>
      <w:r>
        <w:rPr>
          <w:rFonts w:eastAsia="宋体" w:cs="Times New Roman"/>
          <w:b/>
          <w:sz w:val="20"/>
          <w:szCs w:val="20"/>
        </w:rPr>
        <w:t>.</w:t>
      </w:r>
    </w:p>
    <w:p w14:paraId="4B8AD245" w14:textId="77777777" w:rsidR="00F91F6C" w:rsidRDefault="00000000">
      <w:pPr>
        <w:pStyle w:val="aff9"/>
        <w:spacing w:before="120" w:after="120"/>
        <w:ind w:firstLineChars="0" w:firstLine="0"/>
        <w:rPr>
          <w:rFonts w:cs="Times New Roman"/>
          <w:b/>
          <w:sz w:val="20"/>
          <w:szCs w:val="20"/>
        </w:rPr>
      </w:pPr>
      <w:r>
        <w:rPr>
          <w:rFonts w:eastAsia="MS Mincho" w:cs="Times New Roman"/>
          <w:b/>
          <w:bCs/>
          <w:sz w:val="20"/>
          <w:szCs w:val="20"/>
          <w:lang w:eastAsia="en-US"/>
        </w:rPr>
        <w:t xml:space="preserve">Proposal </w:t>
      </w:r>
      <w:r>
        <w:rPr>
          <w:rFonts w:eastAsia="宋体" w:cs="Times New Roman" w:hint="eastAsia"/>
          <w:b/>
          <w:bCs/>
          <w:sz w:val="20"/>
          <w:szCs w:val="20"/>
        </w:rPr>
        <w:t>2</w:t>
      </w:r>
      <w:r>
        <w:rPr>
          <w:rFonts w:eastAsia="MS Mincho" w:cs="Times New Roman"/>
          <w:b/>
          <w:bCs/>
          <w:sz w:val="20"/>
          <w:szCs w:val="20"/>
          <w:lang w:eastAsia="en-US"/>
        </w:rPr>
        <w:t>. If no larger number of PUCCH transmission is needed, when multiple repetition factors are configured via SIB, single PUCCH transmission can be indicated by the same way as repetition factor does.</w:t>
      </w:r>
    </w:p>
    <w:p w14:paraId="27B18672" w14:textId="77777777" w:rsidR="00F91F6C" w:rsidRDefault="00000000">
      <w:pPr>
        <w:widowControl/>
        <w:spacing w:before="120" w:after="120"/>
        <w:rPr>
          <w:rFonts w:ascii="Times New Roman" w:eastAsia="MS Mincho" w:hAnsi="Times New Roman" w:cs="Times New Roman"/>
          <w:b/>
          <w:bCs/>
          <w:kern w:val="0"/>
          <w:sz w:val="20"/>
          <w:szCs w:val="20"/>
          <w:lang w:eastAsia="en-US"/>
        </w:rPr>
      </w:pPr>
      <w:r>
        <w:rPr>
          <w:rFonts w:ascii="Times New Roman" w:eastAsia="MS Mincho" w:hAnsi="Times New Roman" w:cs="Times New Roman"/>
          <w:b/>
          <w:bCs/>
          <w:kern w:val="0"/>
          <w:sz w:val="20"/>
          <w:szCs w:val="20"/>
          <w:lang w:eastAsia="en-US"/>
        </w:rPr>
        <w:t xml:space="preserve">Proposal </w:t>
      </w:r>
      <w:r>
        <w:rPr>
          <w:rFonts w:ascii="Times New Roman" w:eastAsia="宋体" w:hAnsi="Times New Roman" w:cs="Times New Roman" w:hint="eastAsia"/>
          <w:b/>
          <w:bCs/>
          <w:kern w:val="0"/>
          <w:sz w:val="20"/>
          <w:szCs w:val="20"/>
        </w:rPr>
        <w:t>3</w:t>
      </w:r>
      <w:r>
        <w:rPr>
          <w:rFonts w:ascii="Times New Roman" w:eastAsia="MS Mincho" w:hAnsi="Times New Roman" w:cs="Times New Roman"/>
          <w:b/>
          <w:bCs/>
          <w:kern w:val="0"/>
          <w:sz w:val="20"/>
          <w:szCs w:val="20"/>
          <w:lang w:eastAsia="en-US"/>
        </w:rPr>
        <w:t>. For PUCCH repetition for Msg4 HARQ-ACK, when repetition factor is not configured via SIB, UE perform single PUCCH transmission as legacy behavior.</w:t>
      </w:r>
    </w:p>
    <w:p w14:paraId="32B28DE2" w14:textId="77777777" w:rsidR="00692694" w:rsidRDefault="00692694" w:rsidP="00692694">
      <w:pPr>
        <w:spacing w:beforeLines="50" w:before="120" w:afterLines="50" w:after="120"/>
        <w:rPr>
          <w:rFonts w:ascii="Times New Roman" w:hAnsi="Times New Roman" w:cs="Times New Roman"/>
          <w:bCs/>
          <w:sz w:val="20"/>
          <w:szCs w:val="20"/>
        </w:rPr>
      </w:pPr>
      <w:r>
        <w:rPr>
          <w:rFonts w:ascii="Times New Roman" w:hAnsi="Times New Roman" w:cs="Times New Roman" w:hint="eastAsia"/>
          <w:b/>
          <w:bCs/>
          <w:sz w:val="20"/>
          <w:szCs w:val="20"/>
        </w:rPr>
        <w:t>Proposal 4. For NTN-specific PUSCH DMRS bundling, support UE report the capability on the maximum time duration of maintaining phase continuity and power consistency in NTN scenarios.</w:t>
      </w:r>
    </w:p>
    <w:p w14:paraId="06F9E1BC" w14:textId="58E87F71" w:rsidR="00692694" w:rsidRDefault="00692694" w:rsidP="00692694">
      <w:pPr>
        <w:spacing w:beforeLines="50" w:before="120" w:afterLines="50" w:after="120"/>
        <w:rPr>
          <w:rFonts w:ascii="Times New Roman" w:hAnsi="Times New Roman" w:cs="Times New Roman"/>
          <w:b/>
          <w:bCs/>
          <w:sz w:val="20"/>
          <w:szCs w:val="20"/>
        </w:rPr>
      </w:pPr>
      <w:r>
        <w:rPr>
          <w:rFonts w:ascii="Times New Roman" w:hAnsi="Times New Roman" w:cs="Times New Roman" w:hint="eastAsia"/>
          <w:b/>
          <w:bCs/>
          <w:sz w:val="20"/>
          <w:szCs w:val="20"/>
        </w:rPr>
        <w:t>Proposal 5</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For NTN-specific PUSCH DMRS bundling,</w:t>
      </w:r>
      <w:r>
        <w:rPr>
          <w:rFonts w:ascii="Times New Roman" w:hAnsi="Times New Roman" w:cs="Times New Roman"/>
          <w:b/>
          <w:bCs/>
          <w:sz w:val="20"/>
          <w:szCs w:val="20"/>
        </w:rPr>
        <w:t xml:space="preserve"> nominal TDW is configured by gNB as in the existing specification, </w:t>
      </w:r>
      <w:r>
        <w:rPr>
          <w:rFonts w:ascii="Times New Roman" w:hAnsi="Times New Roman" w:cs="Times New Roman" w:hint="eastAsia"/>
          <w:b/>
          <w:bCs/>
          <w:sz w:val="20"/>
          <w:szCs w:val="20"/>
        </w:rPr>
        <w:t xml:space="preserve">if </w:t>
      </w:r>
      <w:r>
        <w:rPr>
          <w:rFonts w:ascii="Times New Roman" w:hAnsi="Times New Roman" w:cs="Times New Roman"/>
          <w:b/>
          <w:bCs/>
          <w:sz w:val="20"/>
          <w:szCs w:val="20"/>
        </w:rPr>
        <w:t>the corresponding RRC signalling</w:t>
      </w:r>
      <w:r w:rsidRPr="00692694">
        <w:rPr>
          <w:rFonts w:ascii="Times New Roman" w:hAnsi="Times New Roman" w:cs="Times New Roman"/>
          <w:b/>
          <w:bCs/>
          <w:sz w:val="20"/>
          <w:szCs w:val="20"/>
        </w:rPr>
        <w:t xml:space="preserve"> is not configured, the TDW size can be equal to the maximum time duration reported by UE.</w:t>
      </w:r>
    </w:p>
    <w:p w14:paraId="3B55997A" w14:textId="77777777" w:rsidR="00692694" w:rsidRDefault="00692694" w:rsidP="00692694">
      <w:pPr>
        <w:spacing w:beforeLines="50" w:before="120" w:afterLines="50" w:after="120"/>
        <w:rPr>
          <w:rFonts w:ascii="Times New Roman" w:hAnsi="Times New Roman" w:cs="Times New Roman"/>
          <w:b/>
          <w:bCs/>
          <w:sz w:val="20"/>
          <w:szCs w:val="20"/>
        </w:rPr>
      </w:pPr>
      <w:r>
        <w:rPr>
          <w:rFonts w:ascii="Times New Roman" w:hAnsi="Times New Roman" w:cs="Times New Roman" w:hint="eastAsia"/>
          <w:b/>
          <w:bCs/>
          <w:sz w:val="20"/>
          <w:szCs w:val="20"/>
        </w:rPr>
        <w:t>Proposal 6. For NTN-specific PUSCH DMRS bundling, actual TDW can be determined by the existing events and no need to define additional new events.</w:t>
      </w:r>
    </w:p>
    <w:p w14:paraId="607F9409" w14:textId="134755C8" w:rsidR="00F91F6C" w:rsidRPr="00692694" w:rsidRDefault="00F91F6C">
      <w:pPr>
        <w:spacing w:beforeLines="50" w:before="120" w:afterLines="50" w:after="120"/>
        <w:rPr>
          <w:rFonts w:ascii="Times New Roman" w:hAnsi="Times New Roman" w:cs="Times New Roman"/>
          <w:b/>
          <w:bCs/>
          <w:sz w:val="20"/>
          <w:szCs w:val="20"/>
        </w:rPr>
      </w:pPr>
    </w:p>
    <w:p w14:paraId="195F0832" w14:textId="77777777" w:rsidR="00F91F6C"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rPr>
          <w:rFonts w:ascii="Times New Roman" w:hAnsi="Times New Roman"/>
          <w:sz w:val="28"/>
          <w:szCs w:val="28"/>
        </w:rPr>
      </w:pPr>
      <w:r>
        <w:rPr>
          <w:rFonts w:ascii="Times New Roman" w:hAnsi="Times New Roman"/>
          <w:sz w:val="28"/>
          <w:szCs w:val="28"/>
        </w:rPr>
        <w:lastRenderedPageBreak/>
        <w:t>References</w:t>
      </w:r>
    </w:p>
    <w:p w14:paraId="6DCA215B" w14:textId="77777777" w:rsidR="00F91F6C" w:rsidRDefault="00000000">
      <w:pPr>
        <w:pStyle w:val="aff9"/>
        <w:numPr>
          <w:ilvl w:val="0"/>
          <w:numId w:val="15"/>
        </w:numPr>
        <w:spacing w:before="120" w:after="120"/>
        <w:ind w:firstLineChars="0"/>
        <w:rPr>
          <w:rFonts w:cs="Times New Roman"/>
          <w:sz w:val="20"/>
          <w:szCs w:val="20"/>
        </w:rPr>
      </w:pPr>
      <w:bookmarkStart w:id="6" w:name="_Ref78875676"/>
      <w:bookmarkStart w:id="7" w:name="_Ref505867252"/>
      <w:bookmarkStart w:id="8" w:name="_Ref30757894"/>
      <w:bookmarkStart w:id="9" w:name="_Ref521162878"/>
      <w:bookmarkStart w:id="10" w:name="_Ref83712416"/>
      <w:bookmarkStart w:id="11" w:name="_Ref533782101"/>
      <w:bookmarkStart w:id="12" w:name="_Ref505807368"/>
      <w:bookmarkStart w:id="13" w:name="_Ref60817485"/>
      <w:bookmarkStart w:id="14" w:name="_Ref71203205"/>
      <w:bookmarkStart w:id="15" w:name="_Ref53491160"/>
      <w:bookmarkStart w:id="16" w:name="_Ref86784880"/>
      <w:bookmarkStart w:id="17" w:name="_Ref521313643"/>
      <w:bookmarkStart w:id="18" w:name="_Ref53511278"/>
      <w:bookmarkStart w:id="19" w:name="_Ref23496549"/>
      <w:r>
        <w:rPr>
          <w:rFonts w:cs="Times New Roman" w:hint="eastAsia"/>
          <w:sz w:val="20"/>
          <w:szCs w:val="20"/>
        </w:rPr>
        <w:t>RP-2</w:t>
      </w:r>
      <w:r>
        <w:rPr>
          <w:rFonts w:cs="Times New Roman"/>
          <w:sz w:val="20"/>
          <w:szCs w:val="20"/>
        </w:rPr>
        <w:t>3</w:t>
      </w:r>
      <w:r>
        <w:rPr>
          <w:rFonts w:eastAsia="宋体" w:cs="Times New Roman" w:hint="eastAsia"/>
          <w:sz w:val="20"/>
          <w:szCs w:val="20"/>
        </w:rPr>
        <w:t>1484</w:t>
      </w:r>
      <w:r>
        <w:rPr>
          <w:rFonts w:cs="Times New Roman" w:hint="eastAsia"/>
          <w:sz w:val="20"/>
          <w:szCs w:val="20"/>
        </w:rPr>
        <w:t>, Revised WID:</w:t>
      </w:r>
      <w:r>
        <w:rPr>
          <w:rFonts w:cs="Times New Roman"/>
          <w:sz w:val="20"/>
          <w:szCs w:val="20"/>
        </w:rPr>
        <w:t xml:space="preserve"> </w:t>
      </w:r>
      <w:r>
        <w:rPr>
          <w:rFonts w:cs="Times New Roman" w:hint="eastAsia"/>
          <w:sz w:val="20"/>
          <w:szCs w:val="20"/>
        </w:rPr>
        <w:t>NR NTN (Non-Terrestrial Networks) enhancements, RAN#</w:t>
      </w:r>
      <w:r>
        <w:rPr>
          <w:rFonts w:eastAsia="宋体" w:cs="Times New Roman" w:hint="eastAsia"/>
          <w:sz w:val="20"/>
          <w:szCs w:val="20"/>
        </w:rPr>
        <w:t>100</w:t>
      </w:r>
      <w:r>
        <w:rPr>
          <w:rFonts w:cs="Times New Roman"/>
          <w:sz w:val="20"/>
          <w:szCs w:val="20"/>
        </w:rPr>
        <w:t>.</w:t>
      </w:r>
      <w:r>
        <w:rPr>
          <w:rFonts w:cs="Times New Roman" w:hint="eastAsia"/>
          <w:sz w:val="20"/>
          <w:szCs w:val="20"/>
        </w:rPr>
        <w:t xml:space="preserve"> </w:t>
      </w:r>
    </w:p>
    <w:p w14:paraId="7E6E8CED" w14:textId="77777777" w:rsidR="00F91F6C" w:rsidRDefault="00000000">
      <w:pPr>
        <w:pStyle w:val="aff9"/>
        <w:numPr>
          <w:ilvl w:val="0"/>
          <w:numId w:val="15"/>
        </w:numPr>
        <w:spacing w:before="120" w:after="120"/>
        <w:ind w:firstLineChars="0"/>
        <w:rPr>
          <w:rFonts w:cs="Times New Roman"/>
          <w:sz w:val="20"/>
          <w:szCs w:val="20"/>
        </w:rPr>
      </w:pPr>
      <w:r>
        <w:rPr>
          <w:rFonts w:cs="Times New Roman" w:hint="eastAsia"/>
          <w:sz w:val="20"/>
          <w:szCs w:val="20"/>
        </w:rPr>
        <w:t>Chairman's Notes RAN1#11</w:t>
      </w:r>
      <w:r>
        <w:rPr>
          <w:rFonts w:eastAsia="宋体" w:cs="Times New Roman" w:hint="eastAsia"/>
          <w:sz w:val="20"/>
          <w:szCs w:val="20"/>
        </w:rPr>
        <w:t xml:space="preserve">3, May 22nd </w:t>
      </w:r>
      <w:r>
        <w:rPr>
          <w:rFonts w:eastAsia="宋体" w:cs="Times New Roman" w:hint="eastAsia"/>
          <w:sz w:val="20"/>
          <w:szCs w:val="20"/>
        </w:rPr>
        <w:t>–</w:t>
      </w:r>
      <w:r>
        <w:rPr>
          <w:rFonts w:eastAsia="宋体" w:cs="Times New Roman" w:hint="eastAsia"/>
          <w:sz w:val="20"/>
          <w:szCs w:val="20"/>
        </w:rPr>
        <w:t xml:space="preserve"> May 26th, 2023.</w:t>
      </w:r>
    </w:p>
    <w:p w14:paraId="72215D73" w14:textId="77777777" w:rsidR="00F91F6C" w:rsidRDefault="00000000">
      <w:pPr>
        <w:pStyle w:val="aff9"/>
        <w:numPr>
          <w:ilvl w:val="0"/>
          <w:numId w:val="15"/>
        </w:numPr>
        <w:spacing w:before="120" w:after="120"/>
        <w:ind w:firstLineChars="0"/>
        <w:rPr>
          <w:rFonts w:cs="Times New Roman"/>
          <w:sz w:val="20"/>
          <w:szCs w:val="20"/>
        </w:rPr>
      </w:pPr>
      <w:r>
        <w:rPr>
          <w:rFonts w:cs="Times New Roman" w:hint="eastAsia"/>
          <w:sz w:val="20"/>
          <w:szCs w:val="20"/>
        </w:rPr>
        <w:t>Chairman's Notes RAN1#111, November 14th – 18th, 2022.</w:t>
      </w:r>
    </w:p>
    <w:p w14:paraId="050B00A3" w14:textId="77777777" w:rsidR="00F91F6C" w:rsidRDefault="00000000">
      <w:pPr>
        <w:pStyle w:val="aff9"/>
        <w:numPr>
          <w:ilvl w:val="0"/>
          <w:numId w:val="15"/>
        </w:numPr>
        <w:spacing w:before="120" w:after="120"/>
        <w:ind w:firstLineChars="0"/>
        <w:rPr>
          <w:rFonts w:cs="Times New Roman"/>
          <w:sz w:val="20"/>
          <w:szCs w:val="20"/>
        </w:rPr>
      </w:pPr>
      <w:r>
        <w:rPr>
          <w:rFonts w:cs="Times New Roman" w:hint="eastAsia"/>
          <w:sz w:val="20"/>
          <w:szCs w:val="20"/>
        </w:rPr>
        <w:t>Chairman's Notes RAN1#112, February 27 - March 3, 2023.</w:t>
      </w:r>
    </w:p>
    <w:p w14:paraId="12242A6F" w14:textId="77777777" w:rsidR="00F91F6C" w:rsidRDefault="00000000">
      <w:pPr>
        <w:pStyle w:val="aff9"/>
        <w:numPr>
          <w:ilvl w:val="0"/>
          <w:numId w:val="16"/>
        </w:numPr>
        <w:spacing w:before="120" w:after="120"/>
        <w:ind w:firstLineChars="0"/>
        <w:rPr>
          <w:rFonts w:cs="Times New Roman"/>
          <w:sz w:val="20"/>
          <w:szCs w:val="20"/>
        </w:rPr>
      </w:pPr>
      <w:r>
        <w:rPr>
          <w:rFonts w:cs="Times New Roman" w:hint="eastAsia"/>
          <w:sz w:val="20"/>
          <w:szCs w:val="20"/>
        </w:rPr>
        <w:t>Chairman's Notes RAN1#110bis-e, October 10th – 19th, 2022.</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107CA72A" w14:textId="77777777" w:rsidR="00F91F6C" w:rsidRDefault="00000000">
      <w:pPr>
        <w:pStyle w:val="aff9"/>
        <w:numPr>
          <w:ilvl w:val="0"/>
          <w:numId w:val="15"/>
        </w:numPr>
        <w:spacing w:before="120" w:after="120"/>
        <w:ind w:firstLineChars="0"/>
        <w:rPr>
          <w:rFonts w:cs="Times New Roman"/>
          <w:sz w:val="20"/>
          <w:szCs w:val="20"/>
        </w:rPr>
      </w:pPr>
      <w:r>
        <w:rPr>
          <w:rFonts w:cs="Times New Roman" w:hint="eastAsia"/>
          <w:sz w:val="20"/>
          <w:szCs w:val="20"/>
        </w:rPr>
        <w:t>Chairman's Notes RAN1#112bis-e, April 17th – April 26th, 2023.</w:t>
      </w:r>
    </w:p>
    <w:p w14:paraId="1925AAA3" w14:textId="77777777" w:rsidR="00F91F6C" w:rsidRDefault="00F91F6C">
      <w:pPr>
        <w:pStyle w:val="aff9"/>
        <w:spacing w:before="120" w:after="120"/>
        <w:ind w:firstLineChars="0" w:firstLine="0"/>
        <w:rPr>
          <w:rFonts w:cs="Times New Roman"/>
          <w:sz w:val="20"/>
          <w:szCs w:val="20"/>
        </w:rPr>
      </w:pPr>
    </w:p>
    <w:sectPr w:rsidR="00F91F6C">
      <w:footerReference w:type="default" r:id="rId8"/>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7EB1D" w14:textId="77777777" w:rsidR="00FE5479" w:rsidRDefault="00FE5479">
      <w:r>
        <w:separator/>
      </w:r>
    </w:p>
  </w:endnote>
  <w:endnote w:type="continuationSeparator" w:id="0">
    <w:p w14:paraId="28AF00C6" w14:textId="77777777" w:rsidR="00FE5479" w:rsidRDefault="00FE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default"/>
    <w:sig w:usb0="FFFFFFFF" w:usb1="E9FFFFFF" w:usb2="0000003F" w:usb3="00000000" w:csb0="603F01FF" w:csb1="FFFF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2D" w14:textId="77777777" w:rsidR="00F91F6C"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A94E" w14:textId="77777777" w:rsidR="00FE5479" w:rsidRDefault="00FE5479">
      <w:r>
        <w:separator/>
      </w:r>
    </w:p>
  </w:footnote>
  <w:footnote w:type="continuationSeparator" w:id="0">
    <w:p w14:paraId="195F92C9" w14:textId="77777777" w:rsidR="00FE5479" w:rsidRDefault="00FE5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CACE15"/>
    <w:multiLevelType w:val="multilevel"/>
    <w:tmpl w:val="01CACE15"/>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tabs>
          <w:tab w:val="left" w:pos="840"/>
        </w:tabs>
        <w:ind w:left="840" w:hanging="420"/>
      </w:pPr>
      <w:rPr>
        <w:rFonts w:ascii="Wingdings" w:hAnsi="Wingdings" w:hint="default"/>
        <w:sz w:val="15"/>
        <w:szCs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sz w:val="11"/>
        <w:szCs w:val="11"/>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AE32171"/>
    <w:multiLevelType w:val="multilevel"/>
    <w:tmpl w:val="4AE32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49634887">
    <w:abstractNumId w:val="0"/>
  </w:num>
  <w:num w:numId="2" w16cid:durableId="1429888416">
    <w:abstractNumId w:val="12"/>
  </w:num>
  <w:num w:numId="3" w16cid:durableId="708072224">
    <w:abstractNumId w:val="1"/>
  </w:num>
  <w:num w:numId="4" w16cid:durableId="1264648514">
    <w:abstractNumId w:val="6"/>
  </w:num>
  <w:num w:numId="5" w16cid:durableId="219748336">
    <w:abstractNumId w:val="13"/>
  </w:num>
  <w:num w:numId="6" w16cid:durableId="707070084">
    <w:abstractNumId w:val="14"/>
  </w:num>
  <w:num w:numId="7" w16cid:durableId="2126346879">
    <w:abstractNumId w:val="7"/>
    <w:lvlOverride w:ilvl="0">
      <w:startOverride w:val="1"/>
    </w:lvlOverride>
  </w:num>
  <w:num w:numId="8" w16cid:durableId="799419104">
    <w:abstractNumId w:val="5"/>
  </w:num>
  <w:num w:numId="9" w16cid:durableId="14541797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5983832">
    <w:abstractNumId w:val="9"/>
  </w:num>
  <w:num w:numId="11" w16cid:durableId="1060982468">
    <w:abstractNumId w:val="2"/>
  </w:num>
  <w:num w:numId="12" w16cid:durableId="1408959486">
    <w:abstractNumId w:val="3"/>
  </w:num>
  <w:num w:numId="13" w16cid:durableId="1432165764">
    <w:abstractNumId w:val="8"/>
  </w:num>
  <w:num w:numId="14" w16cid:durableId="82654510">
    <w:abstractNumId w:val="10"/>
  </w:num>
  <w:num w:numId="15" w16cid:durableId="4456603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40541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131"/>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5D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6F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5CE6"/>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8C9"/>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8F"/>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1FB0"/>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A0A"/>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075"/>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479"/>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3F30AD"/>
    <w:rsid w:val="01B3401D"/>
    <w:rsid w:val="027E2A4D"/>
    <w:rsid w:val="035F0D31"/>
    <w:rsid w:val="048056FD"/>
    <w:rsid w:val="050A6064"/>
    <w:rsid w:val="051C45FF"/>
    <w:rsid w:val="05B207D7"/>
    <w:rsid w:val="069E452D"/>
    <w:rsid w:val="06CD3AE3"/>
    <w:rsid w:val="06F11405"/>
    <w:rsid w:val="078428D6"/>
    <w:rsid w:val="07927BA1"/>
    <w:rsid w:val="08147F4D"/>
    <w:rsid w:val="085C7F0C"/>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F5741F4"/>
    <w:rsid w:val="1FC86362"/>
    <w:rsid w:val="21204734"/>
    <w:rsid w:val="21307C26"/>
    <w:rsid w:val="214855AC"/>
    <w:rsid w:val="21A010CB"/>
    <w:rsid w:val="22096243"/>
    <w:rsid w:val="227361F3"/>
    <w:rsid w:val="22935F12"/>
    <w:rsid w:val="22DD7DF7"/>
    <w:rsid w:val="23574029"/>
    <w:rsid w:val="23826687"/>
    <w:rsid w:val="23B579DA"/>
    <w:rsid w:val="24127EFF"/>
    <w:rsid w:val="2418741D"/>
    <w:rsid w:val="241C578A"/>
    <w:rsid w:val="24A67F63"/>
    <w:rsid w:val="252F30C7"/>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65435AA"/>
    <w:rsid w:val="36DF0480"/>
    <w:rsid w:val="373F00CE"/>
    <w:rsid w:val="37A45E5B"/>
    <w:rsid w:val="37C1085D"/>
    <w:rsid w:val="384E1369"/>
    <w:rsid w:val="38B81281"/>
    <w:rsid w:val="3A0134C3"/>
    <w:rsid w:val="3AA23BE2"/>
    <w:rsid w:val="3AB334C9"/>
    <w:rsid w:val="3B1D470D"/>
    <w:rsid w:val="3BBF49C1"/>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AC0C24"/>
    <w:rsid w:val="44C13879"/>
    <w:rsid w:val="44D0785C"/>
    <w:rsid w:val="44E949BC"/>
    <w:rsid w:val="454113CA"/>
    <w:rsid w:val="457058A2"/>
    <w:rsid w:val="45707A5A"/>
    <w:rsid w:val="45A3069F"/>
    <w:rsid w:val="46663583"/>
    <w:rsid w:val="47A82984"/>
    <w:rsid w:val="47BF3FAA"/>
    <w:rsid w:val="48C14F37"/>
    <w:rsid w:val="49B27E76"/>
    <w:rsid w:val="4A0E2718"/>
    <w:rsid w:val="4AAA79F6"/>
    <w:rsid w:val="4CCB0B23"/>
    <w:rsid w:val="4CF82E4F"/>
    <w:rsid w:val="4D7A3818"/>
    <w:rsid w:val="4D7A638A"/>
    <w:rsid w:val="4D9D2DC2"/>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A84407"/>
    <w:rsid w:val="59C402EF"/>
    <w:rsid w:val="59DA7990"/>
    <w:rsid w:val="5B767B29"/>
    <w:rsid w:val="5BE43781"/>
    <w:rsid w:val="5C0F220F"/>
    <w:rsid w:val="5C306F88"/>
    <w:rsid w:val="5E6C2063"/>
    <w:rsid w:val="5EB95666"/>
    <w:rsid w:val="5F3A20FC"/>
    <w:rsid w:val="61663C4A"/>
    <w:rsid w:val="61934C6E"/>
    <w:rsid w:val="62155E32"/>
    <w:rsid w:val="62665E83"/>
    <w:rsid w:val="62AE1BCE"/>
    <w:rsid w:val="62F5311D"/>
    <w:rsid w:val="643A33AF"/>
    <w:rsid w:val="64484568"/>
    <w:rsid w:val="648926FC"/>
    <w:rsid w:val="65765DE3"/>
    <w:rsid w:val="66AF7D38"/>
    <w:rsid w:val="66D121ED"/>
    <w:rsid w:val="675F5E3A"/>
    <w:rsid w:val="6760517B"/>
    <w:rsid w:val="68B91B72"/>
    <w:rsid w:val="68FA6D78"/>
    <w:rsid w:val="6921087A"/>
    <w:rsid w:val="696B3FB3"/>
    <w:rsid w:val="69727C41"/>
    <w:rsid w:val="69ED5CFB"/>
    <w:rsid w:val="69F375E8"/>
    <w:rsid w:val="6A28308C"/>
    <w:rsid w:val="6A3F4B45"/>
    <w:rsid w:val="6C004602"/>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889F6"/>
  <w15:docId w15:val="{48161286-C107-4AFA-9E13-01F88D17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e">
    <w:name w:val="Revision"/>
    <w:hidden/>
    <w:uiPriority w:val="99"/>
    <w:unhideWhenUsed/>
    <w:rsid w:val="00E44AE0"/>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3628</Words>
  <Characters>20682</Characters>
  <Application>Microsoft Office Word</Application>
  <DocSecurity>0</DocSecurity>
  <Lines>172</Lines>
  <Paragraphs>48</Paragraphs>
  <ScaleCrop>false</ScaleCrop>
  <Company/>
  <LinksUpToDate>false</LinksUpToDate>
  <CharactersWithSpaces>24262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2484</cp:revision>
  <dcterms:created xsi:type="dcterms:W3CDTF">2020-10-13T08:13:00Z</dcterms:created>
  <dcterms:modified xsi:type="dcterms:W3CDTF">2023-08-11T02:59:00Z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C51D4D6986D94ABAB44E963400F2C6C9</vt:lpwstr>
  </property>
</Properties>
</file>